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5BD0" w14:textId="77777777" w:rsidR="0070179B" w:rsidRPr="0070179B" w:rsidRDefault="0070179B" w:rsidP="0070179B">
      <w:pPr>
        <w:shd w:val="clear" w:color="auto" w:fill="FFFFFF"/>
        <w:jc w:val="both"/>
        <w:outlineLvl w:val="0"/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</w:pPr>
      <w:r w:rsidRPr="0070179B">
        <w:rPr>
          <w:rFonts w:eastAsia="Times New Roman"/>
          <w:b/>
          <w:bCs/>
          <w:caps/>
          <w:color w:val="000000" w:themeColor="text1"/>
          <w:kern w:val="36"/>
          <w:szCs w:val="30"/>
          <w:lang w:eastAsia="ru-RU"/>
        </w:rPr>
        <w:t xml:space="preserve">О </w:t>
      </w:r>
      <w:r w:rsidRPr="0070179B">
        <w:rPr>
          <w:rFonts w:eastAsia="Times New Roman"/>
          <w:b/>
          <w:bCs/>
          <w:color w:val="000000" w:themeColor="text1"/>
          <w:kern w:val="36"/>
          <w:szCs w:val="30"/>
          <w:lang w:eastAsia="ru-RU"/>
        </w:rPr>
        <w:t>мерах поддержки организаторов азартных игр в связи с изданием Указа Президента Республики Беларусь от 24.04.2020 №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b/>
          <w:bCs/>
          <w:color w:val="000000" w:themeColor="text1"/>
          <w:kern w:val="36"/>
          <w:szCs w:val="30"/>
          <w:lang w:eastAsia="ru-RU"/>
        </w:rPr>
        <w:t>143</w:t>
      </w:r>
    </w:p>
    <w:p w14:paraId="73F0202A" w14:textId="77777777" w:rsidR="0070179B" w:rsidRDefault="0070179B" w:rsidP="0070179B">
      <w:pPr>
        <w:shd w:val="clear" w:color="auto" w:fill="FFFFFF"/>
        <w:spacing w:line="300" w:lineRule="atLeast"/>
        <w:jc w:val="both"/>
        <w:rPr>
          <w:rFonts w:eastAsia="Times New Roman"/>
          <w:color w:val="000000" w:themeColor="text1"/>
          <w:szCs w:val="30"/>
          <w:lang w:eastAsia="ru-RU"/>
        </w:rPr>
      </w:pPr>
    </w:p>
    <w:p w14:paraId="5E0ED0C9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bCs/>
          <w:color w:val="000000" w:themeColor="text1"/>
          <w:szCs w:val="30"/>
          <w:lang w:eastAsia="ru-RU"/>
        </w:rPr>
        <w:t>В связи с изданием Указа Президента Республики Беларусь от 24.04.2020 № 143</w:t>
      </w:r>
      <w:r>
        <w:rPr>
          <w:rFonts w:eastAsia="Times New Roman"/>
          <w:bCs/>
          <w:color w:val="000000" w:themeColor="text1"/>
          <w:szCs w:val="30"/>
          <w:lang w:eastAsia="ru-RU"/>
        </w:rPr>
        <w:t xml:space="preserve"> 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«О </w:t>
      </w:r>
      <w:r>
        <w:rPr>
          <w:rFonts w:eastAsia="Times New Roman"/>
          <w:bCs/>
          <w:color w:val="000000" w:themeColor="text1"/>
          <w:szCs w:val="30"/>
          <w:lang w:eastAsia="ru-RU"/>
        </w:rPr>
        <w:t>п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оддержке экономики» (далее – Указ № 143)</w:t>
      </w:r>
      <w:r>
        <w:rPr>
          <w:rFonts w:eastAsia="Times New Roman"/>
          <w:bCs/>
          <w:color w:val="000000" w:themeColor="text1"/>
          <w:szCs w:val="30"/>
          <w:lang w:eastAsia="ru-RU"/>
        </w:rPr>
        <w:t xml:space="preserve"> Министерство по налогам и сборам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 xml:space="preserve"> информирует 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о мерах поддержки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 xml:space="preserve"> 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организаторов азартных игр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.</w:t>
      </w:r>
    </w:p>
    <w:p w14:paraId="796C8DA7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Указ № 143 издан Главой государства в целях минимизации влияния на экономику Республики Беларусь мировой эпидемиологической ситуации и, в том числе предусматривает следующие меры поддержки.</w:t>
      </w:r>
    </w:p>
    <w:p w14:paraId="54832951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1. Возможность предоставления областными, Минским городским, районными, городскими (городов областного подчинения) Советами депутатов либо по их поручению местными исполнительными и распорядительными органами отсрочки с последующей рассрочкой, налогового кредита в отношении налогов, сборов (пошлин), полностью уплачиваемых в соответствующие местные бюджеты, подлежащих уплате с 1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апреля по 30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сентября 2020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г., с их погашением с 1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октября по 31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декабря 2020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г. ежемесячно равными долями не позднее последнего рабочего дня каждого месяца. Такие отсрочка с последующей рассрочкой, налоговый кредит предоставляются юридическим лицам,</w:t>
      </w:r>
      <w:r>
        <w:rPr>
          <w:rFonts w:eastAsia="Times New Roman"/>
          <w:color w:val="000000" w:themeColor="text1"/>
          <w:szCs w:val="30"/>
          <w:lang w:eastAsia="ru-RU"/>
        </w:rPr>
        <w:t xml:space="preserve"> 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основной</w:t>
      </w:r>
      <w:r w:rsidRPr="0070179B">
        <w:rPr>
          <w:rFonts w:eastAsia="Times New Roman"/>
          <w:color w:val="000000" w:themeColor="text1"/>
          <w:szCs w:val="30"/>
          <w:lang w:eastAsia="ru-RU"/>
        </w:rPr>
        <w:t> вид осуществляемой экономической деятельности которых включен в перечень видов экономической деятельности, наиболее подверженных неблагоприятному влиянию эпидемиологической ситуации (далее - перечень) (приложение к Указу №</w:t>
      </w:r>
      <w:r w:rsidR="005A7AC7"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143). 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Вместе с тем деятельность в сфере игорного бизнеса в указанный перечень не включена.</w:t>
      </w:r>
    </w:p>
    <w:p w14:paraId="46D4E6C3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Принимая во внимание изложенное, в условиях, предусмотренных Указом №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143, за данной мерой государственной поддержки в вышеуказанные местные органы власти юридические лица, 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в том числе осуществляющие деятельность в сфере игорного бизнеса</w:t>
      </w:r>
      <w:r w:rsidRPr="0070179B">
        <w:rPr>
          <w:rFonts w:eastAsia="Times New Roman"/>
          <w:color w:val="000000" w:themeColor="text1"/>
          <w:szCs w:val="30"/>
          <w:lang w:eastAsia="ru-RU"/>
        </w:rPr>
        <w:t>, могут обращаться только при условии если 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основной</w:t>
      </w:r>
      <w:r w:rsidRPr="0070179B">
        <w:rPr>
          <w:rFonts w:eastAsia="Times New Roman"/>
          <w:color w:val="000000" w:themeColor="text1"/>
          <w:szCs w:val="30"/>
          <w:lang w:eastAsia="ru-RU"/>
        </w:rPr>
        <w:t> вид осуществляемой ими экономической деятельности включен в обозначенный перечень. Кроме того, учитывая, что налог на игорный бизнес полностью уплачивается в местный бюджет, меры государственной поддержки организаторам азартных игр могут также оказываться местными органами управления и самоуправления, которым частью второй пункта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1 статьи 48 Налогового кодекса Республики Беларусь на основании соответствующего заявления плательщика предоставлено право изменять установленный законодательством срок уплаты налогов, полностью уплачиваемых в соответствующие местные бюджеты, на условиях, определенных в главе</w:t>
      </w:r>
      <w:r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 xml:space="preserve">5 Налогового кодекса, и в порядке, установленном областными, Минским </w:t>
      </w:r>
      <w:r w:rsidRPr="0070179B">
        <w:rPr>
          <w:rFonts w:eastAsia="Times New Roman"/>
          <w:color w:val="000000" w:themeColor="text1"/>
          <w:szCs w:val="30"/>
          <w:lang w:eastAsia="ru-RU"/>
        </w:rPr>
        <w:lastRenderedPageBreak/>
        <w:t>городским, районными, городскими (городов областного подчинения) Советами депутатов.</w:t>
      </w:r>
    </w:p>
    <w:p w14:paraId="70A5949D" w14:textId="77777777" w:rsidR="0070179B" w:rsidRPr="0070179B" w:rsidRDefault="0070179B" w:rsidP="0070179B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i/>
          <w:iCs/>
          <w:color w:val="000000" w:themeColor="text1"/>
          <w:szCs w:val="30"/>
          <w:lang w:eastAsia="ru-RU"/>
        </w:rPr>
        <w:t>Справочно. В соответствии с пунктом 2 статьи 48 Налогового кодекса установленный законодательством срок уплаты налогов, сборов (пошлин), пеней может быть изменен в форме:</w:t>
      </w:r>
    </w:p>
    <w:p w14:paraId="1B4339B5" w14:textId="77777777" w:rsidR="0070179B" w:rsidRPr="0070179B" w:rsidRDefault="0070179B" w:rsidP="0070179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5A7AC7">
        <w:rPr>
          <w:rFonts w:eastAsia="Times New Roman"/>
          <w:i/>
          <w:iCs/>
          <w:color w:val="000000" w:themeColor="text1"/>
          <w:szCs w:val="30"/>
          <w:lang w:eastAsia="ru-RU"/>
        </w:rPr>
        <w:t>отсрочки</w:t>
      </w:r>
      <w:r w:rsidR="005A7AC7">
        <w:rPr>
          <w:rFonts w:eastAsia="Times New Roman"/>
          <w:color w:val="000000" w:themeColor="text1"/>
          <w:szCs w:val="30"/>
          <w:lang w:eastAsia="ru-RU"/>
        </w:rPr>
        <w:t xml:space="preserve"> </w:t>
      </w:r>
      <w:r w:rsidRPr="0070179B">
        <w:rPr>
          <w:rFonts w:eastAsia="Times New Roman"/>
          <w:i/>
          <w:iCs/>
          <w:color w:val="000000" w:themeColor="text1"/>
          <w:szCs w:val="30"/>
          <w:lang w:eastAsia="ru-RU"/>
        </w:rPr>
        <w:t>с единовременной уплатой сумм налогов, сборов (пошлин), пеней;</w:t>
      </w:r>
    </w:p>
    <w:p w14:paraId="7D09932A" w14:textId="77777777" w:rsidR="0070179B" w:rsidRPr="0070179B" w:rsidRDefault="0070179B" w:rsidP="0070179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i/>
          <w:iCs/>
          <w:color w:val="000000" w:themeColor="text1"/>
          <w:szCs w:val="30"/>
          <w:lang w:eastAsia="ru-RU"/>
        </w:rPr>
        <w:t>рассрочки с поэтапной уплатой сумм задолженности налогов, сборов (пошлин), пеней;</w:t>
      </w:r>
    </w:p>
    <w:p w14:paraId="735FBE39" w14:textId="77777777" w:rsidR="0070179B" w:rsidRPr="0070179B" w:rsidRDefault="0070179B" w:rsidP="0070179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i/>
          <w:iCs/>
          <w:color w:val="000000" w:themeColor="text1"/>
          <w:szCs w:val="30"/>
          <w:lang w:eastAsia="ru-RU"/>
        </w:rPr>
        <w:t>отсрочки с последующей рассрочкой;</w:t>
      </w:r>
    </w:p>
    <w:p w14:paraId="3B11763C" w14:textId="77777777" w:rsidR="0070179B" w:rsidRPr="0070179B" w:rsidRDefault="0070179B" w:rsidP="0070179B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i/>
          <w:iCs/>
          <w:color w:val="000000" w:themeColor="text1"/>
          <w:szCs w:val="30"/>
          <w:lang w:eastAsia="ru-RU"/>
        </w:rPr>
        <w:t>налогового кредита с единовременной либо поэтапной уплатой сумм налогов, сборов (пошлин) в период действия этого кредита.</w:t>
      </w:r>
    </w:p>
    <w:p w14:paraId="27F1BA6F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Обращаем внимание, что, исходя из положений Указа №</w:t>
      </w:r>
      <w:r w:rsidR="005A7AC7"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143, отсрочка с последующей рассрочкой, налоговый кредит не</w:t>
      </w:r>
      <w:r w:rsidR="005A7AC7"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предоставляется по подоходному налогу, удержанному юридическим лицом (налоговым агентом) с доходов физических лиц, поскольку данный налог не является налоговым обязательством организации.</w:t>
      </w:r>
    </w:p>
    <w:p w14:paraId="7F89F79B" w14:textId="77777777" w:rsidR="0070179B" w:rsidRPr="0070179B" w:rsidRDefault="0070179B" w:rsidP="0070179B">
      <w:pPr>
        <w:shd w:val="clear" w:color="auto" w:fill="FFFFFF"/>
        <w:spacing w:before="60" w:afterLines="60" w:after="144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2. В соответствии с нормами подпунктов 2.2 и 2.3 пункта 2 Указа №</w:t>
      </w:r>
      <w:r w:rsidR="005A7AC7" w:rsidRPr="0070179B">
        <w:rPr>
          <w:rFonts w:eastAsia="Times New Roman"/>
          <w:bCs/>
          <w:color w:val="000000" w:themeColor="text1"/>
          <w:szCs w:val="30"/>
          <w:lang w:eastAsia="ru-RU"/>
        </w:rPr>
        <w:t> </w:t>
      </w:r>
      <w:r w:rsidRPr="0070179B">
        <w:rPr>
          <w:rFonts w:eastAsia="Times New Roman"/>
          <w:color w:val="000000" w:themeColor="text1"/>
          <w:szCs w:val="30"/>
          <w:lang w:eastAsia="ru-RU"/>
        </w:rPr>
        <w:t>143 областным Советам депутатов или по их поручению местным Советам депутатов базового территориального уровня и Минскому городскому Совету депутатов, местным исполнительным комитетам, администрациям свободных экономических зон в течение II и III кварталов 2020 года предоставлено право принимать решения об уменьшении отдельным категориям плательщиков сумм налога на недвижимость и (или) земельного налога, а также арендной платы за земельные участки, 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подлежащих уплате ими во II и III кварталах 2020 года. </w:t>
      </w:r>
      <w:r w:rsidRPr="0070179B">
        <w:rPr>
          <w:rFonts w:eastAsia="Times New Roman"/>
          <w:color w:val="000000" w:themeColor="text1"/>
          <w:szCs w:val="30"/>
          <w:lang w:eastAsia="ru-RU"/>
        </w:rPr>
        <w:t>Местными органами власти, администрациями свободных экономических зон указанные преференции устанавливаются в отношении категорий плательщиков, </w:t>
      </w:r>
      <w:r w:rsidRPr="0070179B">
        <w:rPr>
          <w:rFonts w:eastAsia="Times New Roman"/>
          <w:b/>
          <w:bCs/>
          <w:color w:val="000000" w:themeColor="text1"/>
          <w:szCs w:val="30"/>
          <w:lang w:eastAsia="ru-RU"/>
        </w:rPr>
        <w:t>определенных ими самостоятельно.</w:t>
      </w:r>
    </w:p>
    <w:p w14:paraId="6AECF9DB" w14:textId="77777777" w:rsidR="00A46AA9" w:rsidRDefault="0070179B" w:rsidP="005A7AC7">
      <w:pPr>
        <w:shd w:val="clear" w:color="auto" w:fill="FFFFFF"/>
        <w:spacing w:before="60"/>
        <w:ind w:firstLine="567"/>
        <w:jc w:val="both"/>
        <w:rPr>
          <w:rFonts w:eastAsia="Times New Roman"/>
          <w:color w:val="000000" w:themeColor="text1"/>
          <w:szCs w:val="30"/>
          <w:lang w:eastAsia="ru-RU"/>
        </w:rPr>
      </w:pPr>
      <w:r w:rsidRPr="0070179B">
        <w:rPr>
          <w:rFonts w:eastAsia="Times New Roman"/>
          <w:color w:val="000000" w:themeColor="text1"/>
          <w:szCs w:val="30"/>
          <w:lang w:eastAsia="ru-RU"/>
        </w:rPr>
        <w:t>Таким образом, организаторы азартных игр вправе обратиться в названные органы с обоснованием целесообразности включения их в перечень категорий плательщиков, которым предоставляются вышеуказанные преференции.</w:t>
      </w:r>
    </w:p>
    <w:p w14:paraId="203A2CD7" w14:textId="77777777" w:rsidR="005A7AC7" w:rsidRDefault="005A7AC7" w:rsidP="005A7AC7">
      <w:pPr>
        <w:shd w:val="clear" w:color="auto" w:fill="FFFFFF"/>
        <w:spacing w:before="60"/>
        <w:jc w:val="right"/>
        <w:rPr>
          <w:rFonts w:eastAsia="Times New Roman"/>
          <w:color w:val="000000" w:themeColor="text1"/>
          <w:szCs w:val="30"/>
          <w:lang w:eastAsia="ru-RU"/>
        </w:rPr>
      </w:pPr>
    </w:p>
    <w:p w14:paraId="72D6E555" w14:textId="7880E1CA" w:rsidR="005A7AC7" w:rsidRPr="00B63A71" w:rsidRDefault="009D40AA" w:rsidP="00B63A71">
      <w:pPr>
        <w:jc w:val="right"/>
      </w:pPr>
      <w:r>
        <w:t>Инспекция  МНС</w:t>
      </w:r>
    </w:p>
    <w:p w14:paraId="3928D4AE" w14:textId="77777777" w:rsidR="005A7AC7" w:rsidRPr="00B63A71" w:rsidRDefault="005A7AC7" w:rsidP="00B63A71">
      <w:pPr>
        <w:jc w:val="right"/>
      </w:pPr>
      <w:r w:rsidRPr="00B63A71">
        <w:t>Республики Беларусь</w:t>
      </w:r>
    </w:p>
    <w:p w14:paraId="6E73F924" w14:textId="5B26C42A" w:rsidR="005A7AC7" w:rsidRPr="00B63A71" w:rsidRDefault="005A7AC7" w:rsidP="00B63A71">
      <w:pPr>
        <w:jc w:val="right"/>
      </w:pPr>
      <w:r w:rsidRPr="00B63A71">
        <w:t xml:space="preserve">по </w:t>
      </w:r>
      <w:r w:rsidR="009D40AA">
        <w:t>Осиповичскому району</w:t>
      </w:r>
      <w:bookmarkStart w:id="0" w:name="_GoBack"/>
      <w:bookmarkEnd w:id="0"/>
    </w:p>
    <w:sectPr w:rsidR="005A7AC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74464"/>
    <w:multiLevelType w:val="hybridMultilevel"/>
    <w:tmpl w:val="C4B0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A7953"/>
    <w:multiLevelType w:val="hybridMultilevel"/>
    <w:tmpl w:val="5FB65C1E"/>
    <w:lvl w:ilvl="0" w:tplc="8616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9B"/>
    <w:rsid w:val="001A0E42"/>
    <w:rsid w:val="005A7AC7"/>
    <w:rsid w:val="0070179B"/>
    <w:rsid w:val="0094746F"/>
    <w:rsid w:val="009D40AA"/>
    <w:rsid w:val="00A46AA9"/>
    <w:rsid w:val="00B516E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156C"/>
  <w15:chartTrackingRefBased/>
  <w15:docId w15:val="{8CB275A4-D260-4025-B2CF-D05B7CD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179B"/>
  </w:style>
  <w:style w:type="paragraph" w:styleId="a3">
    <w:name w:val="Normal (Web)"/>
    <w:basedOn w:val="a"/>
    <w:uiPriority w:val="99"/>
    <w:semiHidden/>
    <w:unhideWhenUsed/>
    <w:rsid w:val="0070179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7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9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Батуро Ольга Михайловна</cp:lastModifiedBy>
  <cp:revision>3</cp:revision>
  <dcterms:created xsi:type="dcterms:W3CDTF">2020-05-14T05:49:00Z</dcterms:created>
  <dcterms:modified xsi:type="dcterms:W3CDTF">2020-06-15T14:20:00Z</dcterms:modified>
</cp:coreProperties>
</file>