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375F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576F53BC" wp14:editId="64EC414A">
            <wp:extent cx="7010400" cy="421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9677" cy="420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r w:rsidRPr="006F375F">
        <w:rPr>
          <w:rFonts w:eastAsia="Times New Roman"/>
          <w:color w:val="000000"/>
          <w:u w:val="single"/>
        </w:rPr>
        <w:t>1. Отменены Межотраслевые</w:t>
      </w:r>
      <w:r w:rsidRPr="006F375F">
        <w:rPr>
          <w:rFonts w:eastAsia="Times New Roman"/>
          <w:color w:val="000000"/>
          <w:u w:val="single"/>
        </w:rPr>
        <w:t xml:space="preserve"> </w:t>
      </w:r>
      <w:r w:rsidRPr="006F375F">
        <w:rPr>
          <w:rFonts w:eastAsia="Times New Roman"/>
          <w:color w:val="000000"/>
          <w:u w:val="single"/>
        </w:rPr>
        <w:t>правила по охране труда при предоставлении гостиничных услуг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4 июля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Минжилкомхоза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и Минтруда и соцзащиты от 25.06.2025 № 51/14 признаны утратившими силу Межотраслевые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 по охране труда при предоставлении гостиничных услуг, утв. постановлением от 27.08.2010 № 121/19.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Требования по охране труда при предоставлении гости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ничных услуг урегулированы: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Правилами по охране труда, утв. постановлением Минтруда и соцзащиты от 01.07.2021 № 53;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утвержденными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Минтруда и соцзащиты от 10.11.2021 № 80:</w:t>
      </w:r>
    </w:p>
    <w:p w:rsidR="00000000" w:rsidRPr="006F375F" w:rsidRDefault="00F85FF4" w:rsidP="006F375F">
      <w:pPr>
        <w:pStyle w:val="listtext2"/>
        <w:spacing w:after="0"/>
        <w:ind w:hanging="1091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- Типовой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инструкцией по охране труда для профессии рабочего «го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рничная»;</w:t>
      </w:r>
    </w:p>
    <w:p w:rsidR="006F375F" w:rsidRDefault="00F85FF4" w:rsidP="006F375F">
      <w:pPr>
        <w:pStyle w:val="listtext2"/>
        <w:spacing w:after="0"/>
        <w:ind w:hanging="1091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- Типовой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инструкцией по охране труда для профессии рабочего «кастелянша».</w:t>
      </w:r>
      <w:bookmarkStart w:id="0" w:name="a2"/>
      <w:bookmarkEnd w:id="0"/>
    </w:p>
    <w:p w:rsidR="006F375F" w:rsidRDefault="006F375F" w:rsidP="006F375F">
      <w:pPr>
        <w:pStyle w:val="listtext2"/>
        <w:spacing w:after="0"/>
        <w:ind w:hanging="1091"/>
        <w:rPr>
          <w:rFonts w:ascii="Times New Roman" w:hAnsi="Times New Roman" w:cs="Times New Roman"/>
          <w:color w:val="000000"/>
          <w:sz w:val="28"/>
          <w:szCs w:val="28"/>
        </w:rPr>
      </w:pPr>
    </w:p>
    <w:p w:rsidR="006F375F" w:rsidRPr="006F375F" w:rsidRDefault="006F375F" w:rsidP="006F375F">
      <w:pPr>
        <w:pStyle w:val="listtext2"/>
        <w:spacing w:after="0"/>
        <w:ind w:hanging="1091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r w:rsidRPr="006F375F">
        <w:rPr>
          <w:rFonts w:eastAsia="Times New Roman"/>
          <w:color w:val="000000"/>
          <w:u w:val="single"/>
        </w:rPr>
        <w:t>2. Изменены условия перевозки опасных грузов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11 июля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постановлениями МЧС от 17.06.2025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№ 28 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№ 29 скорректированы: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 по обеспечению безопасности перевоз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ки опасных грузов внутренним водным транспортом, утв. ведомственным постановлением от 05.12.2022 № 71;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 по обеспечению безопасности перевозки опасных грузов автомобильным транспортом, утв. постановлением от 17.05.2021 № 35.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частности, уточнено,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что перевозка опасных грузов, входящих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перечень промышленных взрывчатых веществ, изделий на их основе и пиротехнических изделий, ограниченных к перемещению через государственную границу Республики Беларусь при ввозе и (или) вывозе, или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перечень источни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ков ионизирующего излучения, ограниченных к перемещению через Государственную границу Республики Беларусь при ввозе в Республику Беларусь и (или) вывозе из Республики Беларусь, утв. постановлением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Совмина от 23.09.2008 № 1397, допускается при наличии разре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шения Департамента по надзору за безопасным ведением работ в промышленности МЧС или Департамента по ядерной и радиационной безопасности МЧС, полученного в соответствии с подп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25.10.4 или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25.10.1 п.25.10 Перечня № 548, соответственно.</w:t>
      </w:r>
    </w:p>
    <w:p w:rsidR="006F375F" w:rsidRDefault="006F375F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1" w:name="a3"/>
      <w:bookmarkEnd w:id="1"/>
    </w:p>
    <w:p w:rsidR="006F375F" w:rsidRDefault="006F375F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r w:rsidRPr="006F375F">
        <w:rPr>
          <w:rFonts w:eastAsia="Times New Roman"/>
          <w:color w:val="000000"/>
          <w:u w:val="single"/>
        </w:rPr>
        <w:t>3. Установлено описани</w:t>
      </w:r>
      <w:r w:rsidRPr="006F375F">
        <w:rPr>
          <w:rFonts w:eastAsia="Times New Roman"/>
          <w:color w:val="000000"/>
          <w:u w:val="single"/>
        </w:rPr>
        <w:t>е одежды повышенной видимости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13 августа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Минтранса от 21.07.2025 № 52 установлено новое описание одежды повышенной видимости для работников дорожных, строительных и других организаций, а также граждан, выполняющих на дорогах ремонт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ные и другие работы.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В новых требованиях одеждой повышенной видимости является не только сигнальный жилет, но также: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жилет (жилет-накидка);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комбинезон;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костюм;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куртка.</w:t>
      </w:r>
    </w:p>
    <w:p w:rsidR="00000000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Одежда повышенной видимости предназначена для работников дорожных, строительных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и других организаций, а также граждан, выполняющих на дорогах ремонтные и другие работы. Она обеспечивает высокую видимость людей при любом освещении в дневное и ночное время в свете фар транспортных средств.</w:t>
      </w:r>
    </w:p>
    <w:p w:rsidR="00F85FF4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000000" w:rsidRPr="006F375F" w:rsidRDefault="00F85FF4" w:rsidP="00F85FF4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3" w:name="a4"/>
      <w:bookmarkEnd w:id="3"/>
      <w:r w:rsidRPr="006F375F">
        <w:rPr>
          <w:rFonts w:eastAsia="Times New Roman"/>
          <w:color w:val="000000"/>
          <w:u w:val="single"/>
        </w:rPr>
        <w:t xml:space="preserve">4. </w:t>
      </w:r>
      <w:proofErr w:type="gramStart"/>
      <w:r w:rsidRPr="006F375F">
        <w:rPr>
          <w:rFonts w:eastAsia="Times New Roman"/>
          <w:color w:val="000000"/>
          <w:u w:val="single"/>
        </w:rPr>
        <w:t>Утверждены новые инструкции по ОТ для мобиль</w:t>
      </w:r>
      <w:r w:rsidRPr="006F375F">
        <w:rPr>
          <w:rFonts w:eastAsia="Times New Roman"/>
          <w:color w:val="000000"/>
          <w:u w:val="single"/>
        </w:rPr>
        <w:t>ной подъемной рабочей платформы</w:t>
      </w:r>
      <w:proofErr w:type="gramEnd"/>
    </w:p>
    <w:p w:rsidR="00000000" w:rsidRPr="006F375F" w:rsidRDefault="00F85FF4" w:rsidP="00F85FF4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16 августа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Минтруда и соцзащиты от 04.08.2025 № 71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Pr="006F375F" w:rsidRDefault="00F85FF4" w:rsidP="006F375F">
      <w:pPr>
        <w:pStyle w:val="listtext1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1) Типовая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инструкция по охране труда при управлении мобильной подъемной рабочей платформой;</w:t>
      </w:r>
    </w:p>
    <w:p w:rsidR="00000000" w:rsidRPr="006F375F" w:rsidRDefault="00F85FF4" w:rsidP="006F375F">
      <w:pPr>
        <w:pStyle w:val="listtext1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2) Типовая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инструкция по охране труда при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ыполнении работ с рабочей платформы мобильной подъемной рабочей платформы.</w:t>
      </w:r>
    </w:p>
    <w:p w:rsidR="00000000" w:rsidRPr="006F375F" w:rsidRDefault="00F85FF4" w:rsidP="006F375F">
      <w:pPr>
        <w:pStyle w:val="justify"/>
        <w:spacing w:after="0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Одновременно утратили силу ведомственные постановления:</w:t>
      </w:r>
    </w:p>
    <w:p w:rsidR="00000000" w:rsidRPr="006F375F" w:rsidRDefault="00F85FF4" w:rsidP="006F375F">
      <w:pPr>
        <w:pStyle w:val="listtext1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1) от 05.07.2005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№ 79 «Об утверждении Типовой инструкции по охране труда для машиниста, управляющего мобильной подъемной рабо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чей платформой»;</w:t>
      </w:r>
    </w:p>
    <w:p w:rsidR="00000000" w:rsidRPr="006F375F" w:rsidRDefault="00F85FF4" w:rsidP="006F375F">
      <w:pPr>
        <w:pStyle w:val="listtext1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2) от 05.07.2005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№ 80 «Об утверждении Типовой инструкции по охране труда для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работающих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в рабочей платформе мобильной подъемной рабочей платформы».</w:t>
      </w:r>
    </w:p>
    <w:p w:rsidR="006F375F" w:rsidRDefault="006F375F" w:rsidP="006F375F">
      <w:pPr>
        <w:pStyle w:val="2"/>
        <w:ind w:firstLine="709"/>
        <w:rPr>
          <w:rFonts w:eastAsia="Times New Roman"/>
          <w:color w:val="000000"/>
        </w:rPr>
      </w:pPr>
      <w:bookmarkStart w:id="4" w:name="a5"/>
      <w:bookmarkEnd w:id="4"/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r w:rsidRPr="006F375F">
        <w:rPr>
          <w:rFonts w:eastAsia="Times New Roman"/>
          <w:color w:val="000000"/>
        </w:rPr>
        <w:lastRenderedPageBreak/>
        <w:t>5</w:t>
      </w:r>
      <w:r w:rsidRPr="006F375F">
        <w:rPr>
          <w:rFonts w:eastAsia="Times New Roman"/>
          <w:color w:val="000000"/>
          <w:u w:val="single"/>
        </w:rPr>
        <w:t>. Уточнены требования к железнодорожным перевозкам грузов класса 7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22 августа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МЧС от 17.06.2025 № 30 внесены изменения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 по обеспечению безопасности перевозки опасных грузов железнодорожным транспортом, утв. постановлением МЧС от 28.12.2021 № 85.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Установлено, что перевозка опасных грузов класса 7 ж/д транспорт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ом должна осуществляться в соответствии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Законом от 18.06.2019 № 198-З «О радиационной безопасности»;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правилами перевозки опасных грузов;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приложением 2 к Соглашению о международном железнодорожном грузовом сообщении;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Совмина от 09.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10.2023 № 668 «О реализации Закона Республики Беларусь от 10 октября 2022 г. № 208-З "О регулировании безопасности при использовании атомной энергии"»;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гигиеническим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нормативом оценки радиационного воздействия, утв. постановлением Совмина от 25.01.2021 №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 37;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СНиП «Требования к радиационной безопасности», утв. постановлением Минздрава от 28.12.2012 № 213;</w:t>
      </w:r>
    </w:p>
    <w:p w:rsidR="00000000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другими актами законодательства в данной области.</w:t>
      </w:r>
    </w:p>
    <w:p w:rsidR="006F375F" w:rsidRDefault="006F375F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F375F" w:rsidRPr="006F375F" w:rsidRDefault="006F375F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5" w:name="a6"/>
      <w:bookmarkEnd w:id="5"/>
      <w:r w:rsidRPr="006F375F">
        <w:rPr>
          <w:rFonts w:eastAsia="Times New Roman"/>
          <w:color w:val="000000"/>
          <w:u w:val="single"/>
        </w:rPr>
        <w:t>6. Упорядочено проведение аттестации рабочих мест по условиям труда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31 августа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нием Минтруда и соцзащиты от 18.08.2025 № 85 внесены изменения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Инструкцию по оценке условий труда при аттестации рабочих мест по условиям труда, утв. ведомственным постановлением от 22.02.2008 № 35.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В частности, уточнено, что аттестационная комиссия осущ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ествляет самостоятельно или с привлечением специалистов нанимателя: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обследование перед началом измерений и исследований уровней вредных и (или) опасных факторов производственной среды и оценки условий труда по показателям тяжести и напряженности трудовог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о процесса рабочих мест в целях проверки на соответствие производственного оборудования и технологических процессов требованиям охраны труда с принятием мер по устранению выявленных недостатков. Результаты обследования и запланированные (принятые) меры по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устранению выявленных недостатков оформляются протоколом по форме, установленной Минтруда и соцзащиты;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формирование перечня вредных и (или) опасных производственных факторов, подлежащих исследованию на конкретном рабочем месте, по форме, установленной Ми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нтруда и соцзащиты.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Вышеуказанные формы ранее были установлены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Минтруда и соцзащиты от 23.12.2016 № 74 «Об установлении форм», которое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№ 85 признано утратившим силу.</w:t>
      </w:r>
    </w:p>
    <w:p w:rsidR="00000000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С 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31 августа 2025 года упорядочено проведение аттестации рабочих мест по условиям труда. Комментарий к постановлению Минтруда и соцзащиты от 18.08.2025 № 85.</w:t>
      </w:r>
    </w:p>
    <w:p w:rsidR="00000000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MS Gothic" w:eastAsia="MS Gothic" w:hAnsi="MS Gothic" w:cs="MS Gothic" w:hint="eastAsia"/>
          <w:color w:val="000000"/>
          <w:sz w:val="28"/>
          <w:szCs w:val="28"/>
        </w:rPr>
        <w:lastRenderedPageBreak/>
        <w:t>✓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С 31 августа 2025 года изменен порядок проведения оценки условий труда при аттестации рабочих мест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по условиям труда. Комментарий к постановлению Минтруда и соцзащиты от 18.08.2025 № 85.</w:t>
      </w:r>
    </w:p>
    <w:p w:rsidR="00F85FF4" w:rsidRPr="006F375F" w:rsidRDefault="00F85FF4" w:rsidP="006F375F">
      <w:pPr>
        <w:pStyle w:val="listtext1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6" w:name="a7"/>
      <w:bookmarkEnd w:id="6"/>
      <w:r w:rsidRPr="006F375F">
        <w:rPr>
          <w:rFonts w:eastAsia="Times New Roman"/>
          <w:color w:val="000000"/>
          <w:u w:val="single"/>
        </w:rPr>
        <w:t>7. Скорректированы</w:t>
      </w:r>
      <w:r w:rsidRPr="006F375F">
        <w:rPr>
          <w:rFonts w:eastAsia="Times New Roman"/>
          <w:color w:val="000000"/>
          <w:u w:val="single"/>
        </w:rPr>
        <w:t xml:space="preserve"> </w:t>
      </w:r>
      <w:r w:rsidRPr="006F375F">
        <w:rPr>
          <w:rFonts w:eastAsia="Times New Roman"/>
          <w:color w:val="000000"/>
          <w:u w:val="single"/>
        </w:rPr>
        <w:t>Правила дорожного движения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1 сентября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вступили в силу основные положения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Указа от 04.08.2025 № 295, которым внесены изменения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 до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рожного движения, утв. Указом от 28.11.2005 № 551.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1. Закреплена обязанность велосипедистов и самокатчиков спешиваться при пересечении проезжей части.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2. Ездить на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электросамокатах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сегвеях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моноколесах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можно будет по велодорожке со скоростью не более 25 к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м/ч, по тротуару - не более 10 км/ч. Установлен запрет передвижения тяжелых устройств, масса которых превышает 35 кг, по тротуару.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3. Владельцы электротранспорта, который по техническим характеристикам можно отнести к мопедам и мотоциклам, вправе участвова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ть в дорожном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движении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>. Для этого нужно подтвердить его тип, оформить электронный паспорт и зарегистрировать в ГАИ.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Тем, кто не хочет регистрировать такие средства, разрешено участвовать в дорожном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движении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на дорогах без усовершенствованного покрытия. При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этом для управления данными транспортными средствами все равно потребуется водительское удостоверение соответствующей категории.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4. Приведено в соответствие с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ТС использование зимних шин. Запрещено зимой использовать шины с маркировкой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All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seasons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(их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можно использовать в любой другой период года). Зимой можно использовать только шины, маркированные знаком в </w:t>
      </w:r>
      <w:proofErr w:type="gram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виде</w:t>
      </w:r>
      <w:proofErr w:type="gram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горной вершины с тремя пиками и снежинкой внутри нее и одним из знаков М+S, M&amp;S, M S. При этом во время эксплуатации остаточная глубина рисунк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а протектора должна быть не менее 4 мм.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Данное требование касается автомобилей с технически допустимой общей массой до 3,5 тонны включительно, легковых и грузопассажирских автомобилей с технически допустимой общей массой свыше 3,5 тонны, а также автобусов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с технически допустимой общей массой до 5 тонн, они должны быть оборудованы зимними шинами.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5. Территории садоводческих товариществ отнесены к жилой зоне.</w:t>
      </w:r>
    </w:p>
    <w:p w:rsidR="00000000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6. Уточнены иные положения ПДД.</w:t>
      </w:r>
    </w:p>
    <w:p w:rsidR="006F375F" w:rsidRPr="006F375F" w:rsidRDefault="006F375F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7" w:name="a8"/>
      <w:bookmarkEnd w:id="7"/>
      <w:r w:rsidRPr="006F375F">
        <w:rPr>
          <w:rFonts w:eastAsia="Times New Roman"/>
          <w:color w:val="000000"/>
          <w:u w:val="single"/>
        </w:rPr>
        <w:t>8. Утратили силу нормативы численности специалистов по охране труда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24 сентября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Минтруда и соцзащиты от 11.09.2025 № 92 признаны утратившими силу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Нормативы численности специалистов по охране тр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уда на предприятиях, утв. постановлением от 23.07.1999 № 94.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Напомним, что должности специалистов по охране труда в организациях сферы производства вводятся при численности работников свыше 100 человек, в организациях сферы услуг - свыше 200 человек.</w:t>
      </w:r>
    </w:p>
    <w:p w:rsidR="00000000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При м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еньшей численности работников наниматель может вводить должность специалиста по охране труда или возлагать соответствующие обязанности по охране труда на уполномоченное им должностное лицо, имеющее необходимую подготовку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ст.20 Закона от 23.06.2008 № 356-З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«Об охране труда»).</w:t>
      </w:r>
    </w:p>
    <w:p w:rsidR="00F85FF4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8" w:name="a9"/>
      <w:bookmarkEnd w:id="8"/>
      <w:r w:rsidRPr="006F375F">
        <w:rPr>
          <w:rFonts w:eastAsia="Times New Roman"/>
          <w:color w:val="000000"/>
          <w:u w:val="single"/>
        </w:rPr>
        <w:t>9. Изменен</w:t>
      </w:r>
      <w:r w:rsidRPr="006F375F">
        <w:rPr>
          <w:rFonts w:eastAsia="Times New Roman"/>
          <w:color w:val="000000"/>
          <w:u w:val="single"/>
        </w:rPr>
        <w:t xml:space="preserve"> </w:t>
      </w:r>
      <w:r w:rsidRPr="006F375F">
        <w:rPr>
          <w:rFonts w:eastAsia="Times New Roman"/>
          <w:color w:val="000000"/>
          <w:u w:val="single"/>
        </w:rPr>
        <w:t>список профессиональных заболеваний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25 сентября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Минздрава и Минтруда и соцзащиты от 15.09.2025 № 107/94 внесены изменения в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 от 26.12.2022 № 125/92 «О списке профессиональных заболеваний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В частности, дополнен перечень вредных и (или) опасных производственных факторов, воздействие которых может приводить к возникновению следующих профессиональных заболеваний (хронических, острых):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воспаление верхних дыхательных путей, вызванное химичес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кими веществами, газами, дымами и парами, не классифицированное в других рубриках (трахеит) Ј68.2;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простой хронический бронхит Ј41.0;</w:t>
      </w:r>
    </w:p>
    <w:p w:rsidR="00000000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• другая уточненная хроническая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обструктивная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легочная болезнь Ј44.8.</w:t>
      </w:r>
    </w:p>
    <w:p w:rsidR="006F375F" w:rsidRPr="006F375F" w:rsidRDefault="006F375F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6F375F" w:rsidRDefault="00F85FF4" w:rsidP="006F375F">
      <w:pPr>
        <w:pStyle w:val="2"/>
        <w:spacing w:before="0" w:after="0"/>
        <w:ind w:firstLine="709"/>
        <w:rPr>
          <w:rFonts w:eastAsia="Times New Roman"/>
          <w:color w:val="000000"/>
          <w:u w:val="single"/>
        </w:rPr>
      </w:pPr>
      <w:bookmarkStart w:id="9" w:name="a10"/>
      <w:bookmarkEnd w:id="9"/>
      <w:r w:rsidRPr="006F375F">
        <w:rPr>
          <w:rFonts w:eastAsia="Times New Roman"/>
          <w:color w:val="000000"/>
          <w:u w:val="single"/>
        </w:rPr>
        <w:t>10. Дополнен перечень тяжелых производственных тра</w:t>
      </w:r>
      <w:r w:rsidRPr="006F375F">
        <w:rPr>
          <w:rFonts w:eastAsia="Times New Roman"/>
          <w:color w:val="000000"/>
          <w:u w:val="single"/>
        </w:rPr>
        <w:t>вм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 28 сентября 2025 г.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постановлением Минздрава от 11.09.2025 № 103 изменены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Правила определения тяжести производственных травм, утв. ведомственным постановлением от 23.01.2015 № 9.</w:t>
      </w:r>
    </w:p>
    <w:p w:rsidR="00000000" w:rsidRPr="006F375F" w:rsidRDefault="00F85FF4" w:rsidP="006F375F">
      <w:pPr>
        <w:pStyle w:val="justify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Изменения коснулись перечня тяжелых производственных травм. В частности,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37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к ним отнесены: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перелом шейки и суставной поверхности лопатки со смещением;</w:t>
      </w:r>
    </w:p>
    <w:p w:rsid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• открытый или закрытый перелом дистального </w:t>
      </w:r>
      <w:r w:rsidR="006F375F">
        <w:rPr>
          <w:rFonts w:ascii="Times New Roman" w:hAnsi="Times New Roman" w:cs="Times New Roman"/>
          <w:color w:val="000000"/>
          <w:sz w:val="28"/>
          <w:szCs w:val="28"/>
        </w:rPr>
        <w:t>отдела лучевой и (или) локтевой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костей со смещением;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>• открытый или закрытый перелом диафиза большеберцовой кости;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• повреждение </w:t>
      </w:r>
      <w:proofErr w:type="spellStart"/>
      <w:r w:rsidRPr="006F375F">
        <w:rPr>
          <w:rFonts w:ascii="Times New Roman" w:hAnsi="Times New Roman" w:cs="Times New Roman"/>
          <w:color w:val="000000"/>
          <w:sz w:val="28"/>
          <w:szCs w:val="28"/>
        </w:rPr>
        <w:t>межберцового</w:t>
      </w:r>
      <w:proofErr w:type="spellEnd"/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синдесмоза без перелома малоберцовой кости в сочетании с разрывом дельтовидной связки и подвывихом стопы;</w:t>
      </w:r>
    </w:p>
    <w:p w:rsidR="00000000" w:rsidRPr="006F375F" w:rsidRDefault="00F85FF4" w:rsidP="006F375F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28"/>
          <w:szCs w:val="28"/>
        </w:rPr>
      </w:pP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>открытый или закрытый перелом дистального отдела большеберцовой кости, за исключением изолированных переломов переднего и</w:t>
      </w:r>
      <w:r w:rsidRPr="006F375F">
        <w:rPr>
          <w:rFonts w:ascii="Times New Roman" w:hAnsi="Times New Roman" w:cs="Times New Roman"/>
          <w:color w:val="000000"/>
          <w:sz w:val="28"/>
          <w:szCs w:val="28"/>
        </w:rPr>
        <w:t xml:space="preserve"> заднего края большеберцовой кости без смещения.</w:t>
      </w:r>
    </w:p>
    <w:sectPr w:rsidR="00000000" w:rsidRPr="006F375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D5"/>
    <w:rsid w:val="005C73D5"/>
    <w:rsid w:val="006F375F"/>
    <w:rsid w:val="00F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3</cp:revision>
  <dcterms:created xsi:type="dcterms:W3CDTF">2025-10-20T13:05:00Z</dcterms:created>
  <dcterms:modified xsi:type="dcterms:W3CDTF">2025-10-20T13:07:00Z</dcterms:modified>
</cp:coreProperties>
</file>