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DB" w:rsidRPr="001B2FDB" w:rsidRDefault="001B2FDB" w:rsidP="001B2FDB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FDB">
        <w:rPr>
          <w:rFonts w:ascii="Times New Roman" w:hAnsi="Times New Roman" w:cs="Times New Roman"/>
          <w:b/>
          <w:sz w:val="32"/>
          <w:szCs w:val="32"/>
        </w:rPr>
        <w:t xml:space="preserve">АЛГОРИТМ ДЕЙСТВИЙ </w:t>
      </w:r>
      <w:r w:rsidRPr="001B2FDB">
        <w:rPr>
          <w:rFonts w:ascii="Times New Roman" w:hAnsi="Times New Roman" w:cs="Times New Roman"/>
          <w:b/>
          <w:sz w:val="32"/>
          <w:szCs w:val="32"/>
        </w:rPr>
        <w:br/>
        <w:t>ПРИ НЕСЧАСТНОМ СЛУЧАЕ, ПРОИСШЕДШЕМ НА ПРОИЗВОДСТВЕ</w:t>
      </w:r>
    </w:p>
    <w:tbl>
      <w:tblPr>
        <w:tblW w:w="1134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10489"/>
      </w:tblGrid>
      <w:tr w:rsidR="001B2FDB" w:rsidRPr="001B2FDB" w:rsidTr="001B2FDB">
        <w:tc>
          <w:tcPr>
            <w:tcW w:w="851" w:type="dxa"/>
            <w:shd w:val="clear" w:color="auto" w:fill="D99594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89" w:type="dxa"/>
            <w:shd w:val="clear" w:color="auto" w:fill="D99594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Первоочередные действия на месте происшествия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F2DBDB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0489" w:type="dxa"/>
            <w:shd w:val="clear" w:color="auto" w:fill="F2DBDB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освободить потерпевшего от воздействия травмирующих факторов. Оказать ему первую помощь, вызвать медицинских работников на место происшествия или доставить потерпевшего в организацию здравоохранения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F2DBDB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10489" w:type="dxa"/>
            <w:shd w:val="clear" w:color="auto" w:fill="F2DBDB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неотложные меры по предотвращению развития аварийной ситуации и воздействия травмирующих факторов на других лиц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F2DBDB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10489" w:type="dxa"/>
            <w:shd w:val="clear" w:color="auto" w:fill="F2DBDB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до начала расследования несчастного случая сохранение обстановки на месте его происшествия, если отсутствует угроза для жизни и здоровья других лиц, а если это невозможно – зафиксировать обстановку путем составления схемы, протокола, фотографирования или иным методом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548DD4" w:themeFill="text2" w:themeFillTint="9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89" w:type="dxa"/>
            <w:shd w:val="clear" w:color="auto" w:fill="548DD4" w:themeFill="text2" w:themeFillTint="9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Информирование о несчастном случае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0489" w:type="dxa"/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Потерпевший (при возможности), другие работники сообщают о происшедшем должностному лицу организации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10489" w:type="dxa"/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 докладывает о несчастном случае нанимателю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2.3.1.</w:t>
            </w:r>
          </w:p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2.3.2.</w:t>
            </w:r>
          </w:p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2.3.3.</w:t>
            </w:r>
          </w:p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10489" w:type="dxa"/>
            <w:shd w:val="clear" w:color="auto" w:fill="C6D9F1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несчастном случае с работником другого нанимателя – в течение одного рабочего дня сообщает о несчастном случае нанимателю потерпевшего;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одного рабочего дня направляет в организацию здравоохранения запрос о тяжести травмы потерпевшего;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информирует о не</w:t>
            </w:r>
            <w:bookmarkStart w:id="0" w:name="_GoBack"/>
            <w:bookmarkEnd w:id="0"/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счастном случае на производстве родственников потерпевшего и профсоюз (иной представительный орган работников);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групповом несчастном случае, несчастном случае со смертельным исходом, несчастном случае, явно относящемся в соответствии со схемой определения тяжести производственных травм к категории несчастных случаев с тяжелым исходом, немедленно сообщает: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 территориальный отдел Следственного комитета по месту, где произошел несчастный случай;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 территориальное структурное подразделение Департамента государственной инспекции труда;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 профсоюз (иной представительный орган работников), а при их отсутствии – в областное (Минское городское) объединение профсоюзов Федерации профсоюзов Беларуси;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 вышестоящую организацию, а при ее отсутствии – в местный исполнительный и распорядительный орган, где зарегистрирован наниматель, страхователь, наниматель потерпевшего (при несчастном случае с работником другого нанимателя);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 территориальный уполномоченный орган надзора, если несчастный случай произошел на поднадзорном ему объекте;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страховщику;</w:t>
            </w:r>
            <w:r w:rsidRPr="001B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других несчастных случаях с тяжелым исходом информирует указанные в пункте 2.3.4. органы и организации после получения заключения организации здравоохранения о тяжести травмы потерпевшего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0489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Организация и обеспечение расследования несчастного случая в установленные сроки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0489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Оформление материалов расследования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0489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Рассылка материалов расследования заинтересованным лицам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0489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Организация учета несчастного случая</w:t>
            </w:r>
          </w:p>
        </w:tc>
      </w:tr>
      <w:tr w:rsidR="001B2FDB" w:rsidRPr="001B2FDB" w:rsidTr="001B2FDB">
        <w:tc>
          <w:tcPr>
            <w:tcW w:w="851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0489" w:type="dxa"/>
            <w:shd w:val="clear" w:color="auto" w:fill="D6E3BC" w:themeFill="accent3" w:themeFillTint="6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2FDB" w:rsidRPr="001B2FDB" w:rsidRDefault="001B2FDB" w:rsidP="001B2FD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FD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Разработка и реализация мероприятий по профилактике несчастных случаев</w:t>
            </w:r>
          </w:p>
        </w:tc>
      </w:tr>
    </w:tbl>
    <w:p w:rsidR="003C1305" w:rsidRPr="001B2FDB" w:rsidRDefault="003C1305" w:rsidP="001B2FDB">
      <w:pPr>
        <w:rPr>
          <w:rFonts w:ascii="Times New Roman" w:hAnsi="Times New Roman" w:cs="Times New Roman"/>
          <w:sz w:val="32"/>
          <w:szCs w:val="32"/>
        </w:rPr>
      </w:pPr>
    </w:p>
    <w:sectPr w:rsidR="003C1305" w:rsidRPr="001B2FDB" w:rsidSect="001B2FDB">
      <w:pgSz w:w="11906" w:h="16838"/>
      <w:pgMar w:top="426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DB"/>
    <w:rsid w:val="001B2FDB"/>
    <w:rsid w:val="003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1</cp:revision>
  <dcterms:created xsi:type="dcterms:W3CDTF">2025-07-14T11:11:00Z</dcterms:created>
  <dcterms:modified xsi:type="dcterms:W3CDTF">2025-07-14T11:22:00Z</dcterms:modified>
</cp:coreProperties>
</file>