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D" w:rsidRPr="002F408D" w:rsidRDefault="002F408D" w:rsidP="002F408D">
      <w:pPr>
        <w:pStyle w:val="a8"/>
        <w:jc w:val="center"/>
        <w:rPr>
          <w:rStyle w:val="a5"/>
          <w:bCs w:val="0"/>
          <w:szCs w:val="29"/>
        </w:rPr>
      </w:pPr>
      <w:r w:rsidRPr="002F408D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56485" cy="1565910"/>
            <wp:effectExtent l="171450" t="133350" r="367665" b="300990"/>
            <wp:wrapSquare wrapText="bothSides"/>
            <wp:docPr id="1" name="Рисунок 1" descr="\\Priemnay\1111\валеология\photo_2020-09-30_15-15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photo_2020-09-30_15-15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F408D">
        <w:rPr>
          <w:rStyle w:val="a5"/>
          <w:bCs w:val="0"/>
          <w:szCs w:val="29"/>
        </w:rPr>
        <w:t xml:space="preserve">1 октября </w:t>
      </w:r>
      <w:r w:rsidRPr="002F408D">
        <w:rPr>
          <w:rStyle w:val="a5"/>
          <w:bCs w:val="0"/>
          <w:szCs w:val="28"/>
        </w:rPr>
        <w:t>-</w:t>
      </w:r>
    </w:p>
    <w:p w:rsidR="002F408D" w:rsidRPr="002F408D" w:rsidRDefault="002F408D" w:rsidP="002F408D">
      <w:pPr>
        <w:pStyle w:val="a8"/>
        <w:jc w:val="center"/>
        <w:rPr>
          <w:b/>
        </w:rPr>
      </w:pPr>
      <w:r w:rsidRPr="002F408D">
        <w:rPr>
          <w:rStyle w:val="a5"/>
          <w:bCs w:val="0"/>
          <w:szCs w:val="29"/>
        </w:rPr>
        <w:t>День пожилых людей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День пожилых людей отмечается в Беларуси с 1990 года. В своей резолюции Генеральная Ассамблея ООН постановила считать 1 октября Международным днем пожилых людей. Изначально целью этого праздника было привлечение внимания общественности к проблемам людей пожилого возраста, а также к возможности улучшения качества их жизни.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В качестве стратегического комплекса мероприятий по активному долголетию и улучшению качества жизни пожилых людей по инициативе и активном участии всех заинтересованных принята Национальная стратегия Республики Беларусь «Активное долголетие – 2030». Реализуются мероприятия Национальной стратегии «Активное долголетие – 2030» в привязке к региональным аспектам деятельности организаций здравоохранения.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В системе здравоохранения Республики Беларусь приоритетное внимание уделяется обеспечению всеобщего доступа к медицинской помощи, а также к безопасным, эффективным и качественным лекарствам и вакцинам.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По состоянию на 1 октября 2022 г. под наблюдением в организациях здравоохранения состоит 2 100 549 граждан пожилого и старческого возраста. Оказание медицинской помощи пожилым людям осуществляется всеми организациями здравоохранения без ограничения по возрасту. В течение 2021 года медицинские осмотры прошли 2 003 501 человек пожилого возраста. Что касается охвата одиноких людей пожилого возраста, то комплексные медицинские осмотры проведены для 109 966 человек (почти 100%).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С целью лучшей организации стационарного лечения ветеранов войн по месту жительства в организациях здравоохранения стационарного типа на 1 октября открыто 1 151 палата на 2 372 коек повышенной комфортности. На этих койках в 2021 году было пролечено 1 378 ветеранов Великой Отечественной войны, в их отсутствие на койках было госпитализировано и пролечено 5 381 одиноких пожилых граждан.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 xml:space="preserve">В республике активно работает Республиканский геронтологический центр (активного долголетия) и 7 региональных центров. В организациях </w:t>
      </w:r>
      <w:r w:rsidRPr="002F408D">
        <w:rPr>
          <w:sz w:val="28"/>
          <w:szCs w:val="28"/>
        </w:rPr>
        <w:lastRenderedPageBreak/>
        <w:t xml:space="preserve">здравоохранения Беларуси работают 145 гериатрических кабинетов. Кроме того, организовано оказание паллиативной помощи инвалидам и одиноким пожилым гражданам в хосписах, отделениях паллиативной медицинской помощи, выездными бригадами паллиативной помощи, а также в больницах сестринского ухода, на койках сестринского ухода и </w:t>
      </w:r>
      <w:proofErr w:type="gramStart"/>
      <w:r w:rsidRPr="002F408D">
        <w:rPr>
          <w:sz w:val="28"/>
          <w:szCs w:val="28"/>
        </w:rPr>
        <w:t>медико-социальных</w:t>
      </w:r>
      <w:proofErr w:type="gramEnd"/>
      <w:r w:rsidRPr="002F408D">
        <w:rPr>
          <w:sz w:val="28"/>
          <w:szCs w:val="28"/>
        </w:rPr>
        <w:t xml:space="preserve"> койках в стационарных организациях здравоохранения. Всего в стране </w:t>
      </w:r>
      <w:proofErr w:type="gramStart"/>
      <w:r w:rsidRPr="002F408D">
        <w:rPr>
          <w:sz w:val="28"/>
          <w:szCs w:val="28"/>
        </w:rPr>
        <w:t>открыты</w:t>
      </w:r>
      <w:proofErr w:type="gramEnd"/>
      <w:r w:rsidRPr="002F408D">
        <w:rPr>
          <w:sz w:val="28"/>
          <w:szCs w:val="28"/>
        </w:rPr>
        <w:t xml:space="preserve"> 101 больница сестринского ухода на 2 655 коек. Высокими темпами внедряются стационарозамещающие технологии.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Для более полного охвата диагностикой населения регионов, с высокой долей пожилых пациентов, успешно используются передвижные медицинские диагностические комплексы. Рост, в структуре населения, доли пожилых неизменно ведет и к увеличению объемов скорой медицинской помощи. С учетом этого увеличен норматив обеспеченности населения бригадами скорой медицинской помощи районов.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Выстроена система взаимодействия медицинских служб учреждений социального обслуживания, осуществляющих стационарное социальное обслуживание и территориальных учреждений здравоохранения.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Обеспечена доступность высокотехнологичной медицинской помощи населению путем создания разноуровневой системы ее оказания, независимо от возраста пациента.</w:t>
      </w:r>
    </w:p>
    <w:p w:rsidR="002F408D" w:rsidRPr="002F408D" w:rsidRDefault="002F408D" w:rsidP="002F408D">
      <w:pPr>
        <w:pStyle w:val="a3"/>
        <w:jc w:val="both"/>
        <w:rPr>
          <w:sz w:val="28"/>
          <w:szCs w:val="28"/>
        </w:rPr>
      </w:pPr>
      <w:r w:rsidRPr="002F408D">
        <w:rPr>
          <w:sz w:val="28"/>
          <w:szCs w:val="28"/>
        </w:rPr>
        <w:t>В организациях здравоохранения создано 579 школ здоровья «Третьего возраста», в которых в 2021 году прошли обучение 99 132 человек. Таким образом, приоритетными направлениями действий системы здравоохранения для поддержания активного долголетия граждан являются улучшение качества и доступности услуг здравоохранения, ориентированных на нужды пожилых граждан.</w:t>
      </w:r>
    </w:p>
    <w:p w:rsidR="002F408D" w:rsidRPr="002F408D" w:rsidRDefault="002F408D" w:rsidP="002F408D">
      <w:pPr>
        <w:pStyle w:val="a3"/>
        <w:rPr>
          <w:sz w:val="28"/>
          <w:szCs w:val="28"/>
        </w:rPr>
      </w:pPr>
      <w:r w:rsidRPr="002F408D">
        <w:rPr>
          <w:sz w:val="28"/>
          <w:szCs w:val="28"/>
        </w:rPr>
        <w:t> </w:t>
      </w:r>
    </w:p>
    <w:p w:rsidR="002F408D" w:rsidRPr="002F408D" w:rsidRDefault="002F408D" w:rsidP="002F408D">
      <w:pPr>
        <w:pStyle w:val="a3"/>
        <w:rPr>
          <w:sz w:val="28"/>
          <w:szCs w:val="28"/>
        </w:rPr>
      </w:pPr>
      <w:r w:rsidRPr="002F408D">
        <w:rPr>
          <w:rStyle w:val="a4"/>
          <w:sz w:val="28"/>
          <w:szCs w:val="28"/>
        </w:rPr>
        <w:t>Пресс-служба Министерства здравоохранения</w:t>
      </w:r>
    </w:p>
    <w:p w:rsidR="004C03AD" w:rsidRPr="002F408D" w:rsidRDefault="004C03AD" w:rsidP="002F408D">
      <w:pPr>
        <w:rPr>
          <w:sz w:val="28"/>
          <w:szCs w:val="28"/>
        </w:rPr>
      </w:pPr>
    </w:p>
    <w:sectPr w:rsidR="004C03AD" w:rsidRPr="002F408D" w:rsidSect="00A5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8D"/>
    <w:rsid w:val="002F408D"/>
    <w:rsid w:val="003C4A77"/>
    <w:rsid w:val="004C03AD"/>
    <w:rsid w:val="00A5673E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408D"/>
    <w:rPr>
      <w:i/>
      <w:iCs/>
    </w:rPr>
  </w:style>
  <w:style w:type="character" w:styleId="a5">
    <w:name w:val="Strong"/>
    <w:basedOn w:val="a0"/>
    <w:uiPriority w:val="22"/>
    <w:qFormat/>
    <w:rsid w:val="002F40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08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F4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4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>home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2022-10-06T14:09:00Z</dcterms:created>
  <dcterms:modified xsi:type="dcterms:W3CDTF">2022-10-06T14:11:00Z</dcterms:modified>
</cp:coreProperties>
</file>