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Start w:id="1" w:name="_GoBack"/>
      <w:bookmarkEnd w:id="0"/>
      <w:bookmarkEnd w:id="1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опережая такие 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</w:t>
      </w:r>
      <w:proofErr w:type="spellStart"/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045D4">
        <w:rPr>
          <w:rFonts w:ascii="Times New Roman" w:eastAsia="Calibri" w:hAnsi="Times New Roman" w:cs="Times New Roman"/>
          <w:sz w:val="30"/>
          <w:szCs w:val="30"/>
        </w:rPr>
        <w:t>Интерес  граждан</w:t>
      </w:r>
      <w:proofErr w:type="gramEnd"/>
      <w:r w:rsidRPr="001045D4">
        <w:rPr>
          <w:rFonts w:ascii="Times New Roman" w:eastAsia="Calibri" w:hAnsi="Times New Roman" w:cs="Times New Roman"/>
          <w:sz w:val="30"/>
          <w:szCs w:val="30"/>
        </w:rPr>
        <w:t>, 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согласование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D5541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</w:t>
      </w:r>
      <w:proofErr w:type="spellStart"/>
      <w:r w:rsidRPr="00CB5F13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CB5F13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026BA8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8D4191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</w:t>
      </w:r>
      <w:proofErr w:type="spellStart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proofErr w:type="gram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</w:t>
      </w:r>
      <w:proofErr w:type="gramEnd"/>
      <w:r w:rsidRPr="00304017">
        <w:rPr>
          <w:rStyle w:val="cef1edeee2edeee9f8f0e8f4f2e0e1e7e0f6e0"/>
          <w:spacing w:val="-8"/>
          <w:sz w:val="24"/>
          <w:szCs w:val="30"/>
        </w:rPr>
        <w:t>хронометраж 02:11 мин.);</w:t>
      </w:r>
    </w:p>
    <w:p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-1.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</w:t>
      </w:r>
      <w:proofErr w:type="gramEnd"/>
      <w:r w:rsidRPr="00F40130">
        <w:rPr>
          <w:rFonts w:ascii="Times New Roman" w:hAnsi="Times New Roman" w:cs="Times New Roman"/>
          <w:sz w:val="24"/>
          <w:szCs w:val="30"/>
        </w:rPr>
        <w:t>хронометраж 00:39 мин.)</w:t>
      </w:r>
    </w:p>
    <w:p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для работы с биометрическими документами // Белорусское телеграфное агентство (БЕЛТА).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 // пресс-конференция в пресс-центре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»: обратная связь с пользователями позволяет становиться лучше //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Мабільны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дадатак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»: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дае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? // газета «</w:t>
      </w:r>
      <w:proofErr w:type="spellStart"/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ED5" w:rsidRDefault="00DF4ED5" w:rsidP="004E6136">
      <w:pPr>
        <w:spacing w:after="0" w:line="240" w:lineRule="auto"/>
      </w:pPr>
      <w:r>
        <w:separator/>
      </w:r>
    </w:p>
  </w:endnote>
  <w:endnote w:type="continuationSeparator" w:id="0">
    <w:p w:rsidR="00DF4ED5" w:rsidRDefault="00DF4ED5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ED5" w:rsidRDefault="00DF4ED5" w:rsidP="004E6136">
      <w:pPr>
        <w:spacing w:after="0" w:line="240" w:lineRule="auto"/>
      </w:pPr>
      <w:r>
        <w:separator/>
      </w:r>
    </w:p>
  </w:footnote>
  <w:footnote w:type="continuationSeparator" w:id="0">
    <w:p w:rsidR="00DF4ED5" w:rsidRDefault="00DF4ED5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60020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8A"/>
    <w:rsid w:val="000235DC"/>
    <w:rsid w:val="00026BA8"/>
    <w:rsid w:val="00043A24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AADC1-0178-4EC7-B957-B6D968D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EBA5-A2DB-46B0-85CE-B8B5F671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2238</Words>
  <Characters>12761</Characters>
  <Application>Microsoft Office Word</Application>
  <DocSecurity>4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Дерешева Юлия Ивановна</cp:lastModifiedBy>
  <cp:revision>2</cp:revision>
  <cp:lastPrinted>2024-07-25T09:44:00Z</cp:lastPrinted>
  <dcterms:created xsi:type="dcterms:W3CDTF">2024-08-02T05:04:00Z</dcterms:created>
  <dcterms:modified xsi:type="dcterms:W3CDTF">2024-08-02T05:04:00Z</dcterms:modified>
</cp:coreProperties>
</file>