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65" w:rsidRDefault="005C1865">
      <w:pPr>
        <w:pStyle w:val="newncpi0"/>
        <w:jc w:val="center"/>
      </w:pPr>
      <w:r>
        <w:rPr>
          <w:rStyle w:val="name"/>
        </w:rPr>
        <w:t>УКАЗ </w:t>
      </w:r>
      <w:r>
        <w:rPr>
          <w:rStyle w:val="promulgator"/>
        </w:rPr>
        <w:t>ПРЕЗИДЕНТА РЕСПУБЛИКИ БЕЛАРУСЬ</w:t>
      </w:r>
    </w:p>
    <w:p w:rsidR="005C1865" w:rsidRDefault="005C1865">
      <w:pPr>
        <w:pStyle w:val="newncpi"/>
        <w:ind w:firstLine="0"/>
        <w:jc w:val="center"/>
      </w:pPr>
      <w:r>
        <w:rPr>
          <w:rStyle w:val="datepr"/>
        </w:rPr>
        <w:t>18 сентября 2019 г.</w:t>
      </w:r>
      <w:r>
        <w:rPr>
          <w:rStyle w:val="number"/>
        </w:rPr>
        <w:t xml:space="preserve"> № 345</w:t>
      </w:r>
    </w:p>
    <w:p w:rsidR="005C1865" w:rsidRDefault="005C1865">
      <w:pPr>
        <w:pStyle w:val="titlencpi"/>
      </w:pPr>
      <w:r>
        <w:t>О семейном капитале</w:t>
      </w:r>
    </w:p>
    <w:p w:rsidR="005C1865" w:rsidRDefault="005C1865">
      <w:pPr>
        <w:pStyle w:val="changei"/>
      </w:pPr>
      <w:r>
        <w:t>Изменения и дополнения:</w:t>
      </w:r>
    </w:p>
    <w:p w:rsidR="005C1865" w:rsidRDefault="005C1865">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5C1865" w:rsidRDefault="005C1865">
      <w:pPr>
        <w:pStyle w:val="newncpi"/>
      </w:pPr>
      <w:r>
        <w:t> </w:t>
      </w:r>
    </w:p>
    <w:p w:rsidR="005C1865" w:rsidRDefault="005C1865">
      <w:pPr>
        <w:pStyle w:val="newncpi"/>
      </w:pPr>
      <w:r>
        <w:t>В целях развития долгосрочной государственной поддержки многодетных семей, стимулирования рождаемости и укрепления института семьи:</w:t>
      </w:r>
    </w:p>
    <w:p w:rsidR="005C1865" w:rsidRDefault="005C1865">
      <w:pPr>
        <w:pStyle w:val="point"/>
      </w:pPr>
      <w:r>
        <w:t>1. Установить, что:</w:t>
      </w:r>
    </w:p>
    <w:p w:rsidR="005C1865" w:rsidRDefault="005C1865">
      <w:pPr>
        <w:pStyle w:val="underpoint"/>
      </w:pPr>
      <w:r>
        <w:t>1.1. с 1 января 2020 г. семьям при рождении (усыновлении, удочерении) в 2020–2024 годах третьего или последующих детей предоставляется единовременная государственная поддержка в форме безналичных денежных средств (далее – семейный капитал) в размере 22 500 рублей.</w:t>
      </w:r>
    </w:p>
    <w:p w:rsidR="005C1865" w:rsidRDefault="005C1865">
      <w:pPr>
        <w:pStyle w:val="newncpi"/>
      </w:pPr>
      <w:r>
        <w:t xml:space="preserve">Начиная с 1 января 2021 г. в целях сохранения покупательной </w:t>
      </w:r>
      <w:proofErr w:type="gramStart"/>
      <w:r>
        <w:t>способности</w:t>
      </w:r>
      <w:proofErr w:type="gramEnd"/>
      <w:r>
        <w:t xml:space="preserve"> установленный в 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рассчитываемого Национальным статистическим комитетом. При этом применяется индекс потребительских цен за предыдущий год по отношению к предшествующему ему году.</w:t>
      </w:r>
    </w:p>
    <w:p w:rsidR="005C1865" w:rsidRDefault="005C1865">
      <w:pPr>
        <w:pStyle w:val="newncpi"/>
      </w:pPr>
      <w:r>
        <w:t>При индексации семейного капитала его размер определяется в целых единицах с округлением последней значащей цифры до ноля или 5 в сторону увеличения (цифры после запятой не учитываются).</w:t>
      </w:r>
    </w:p>
    <w:p w:rsidR="005C1865" w:rsidRDefault="005C1865">
      <w:pPr>
        <w:pStyle w:val="newncpi"/>
      </w:pPr>
      <w: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rsidR="005C1865" w:rsidRDefault="005C1865">
      <w:pPr>
        <w:pStyle w:val="underpoint"/>
      </w:pPr>
      <w:r>
        <w:t xml:space="preserve">1.2. предоставление семейного капитала производится в размере, действующем </w:t>
      </w:r>
      <w:proofErr w:type="gramStart"/>
      <w:r>
        <w:t>на</w:t>
      </w:r>
      <w:proofErr w:type="gramEnd"/>
      <w:r>
        <w:t xml:space="preserve"> дату рождения, в случае усыновления (удочерения) – на дату усыновления (удочерения) третьего или последующих детей;</w:t>
      </w:r>
    </w:p>
    <w:p w:rsidR="005C1865" w:rsidRDefault="005C1865">
      <w:pPr>
        <w:pStyle w:val="underpoint"/>
      </w:pPr>
      <w:r>
        <w:t>1.3. право на предоставление семейного капитала может быть реализовано семьей один раз.</w:t>
      </w:r>
    </w:p>
    <w:p w:rsidR="005C1865" w:rsidRDefault="005C1865">
      <w:pPr>
        <w:pStyle w:val="newncpi"/>
      </w:pPr>
      <w:r>
        <w:t>Семьи, которым семейный капитал предоставлен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 права на предоставление семейного капитала в соответствии с настоящим Указом не имеют;</w:t>
      </w:r>
    </w:p>
    <w:p w:rsidR="005C1865" w:rsidRDefault="005C1865">
      <w:pPr>
        <w:pStyle w:val="underpoint"/>
      </w:pPr>
      <w:proofErr w:type="gramStart"/>
      <w:r>
        <w:t>1.4. средства семейного капитала, в том числе проценты, начисленные открытым акционерным обществом «Сберегательный банк «</w:t>
      </w:r>
      <w:proofErr w:type="spellStart"/>
      <w:r>
        <w:t>Беларусбанк</w:t>
      </w:r>
      <w:proofErr w:type="spellEnd"/>
      <w:r>
        <w:t xml:space="preserve">» (далее – ОАО «АСБ </w:t>
      </w:r>
      <w:proofErr w:type="spellStart"/>
      <w:r>
        <w:t>Беларусбанк</w:t>
      </w:r>
      <w:proofErr w:type="spellEnd"/>
      <w:r>
        <w:t>») за период размещения средств семейного капитала в банковские вклады (депозиты) «Семейный капитал» физических лиц (далее – вклад (депозит) «Семейный капитал»), наследованию не подлежат и освобождаются от подоходного налога с физических лиц, на них не может быть обращено взыскание;</w:t>
      </w:r>
      <w:proofErr w:type="gramEnd"/>
    </w:p>
    <w:p w:rsidR="005C1865" w:rsidRDefault="005C1865">
      <w:pPr>
        <w:pStyle w:val="underpoint"/>
      </w:pPr>
      <w:r>
        <w:t>1.5. финансирование расходов на выплату семейного капитала производится:</w:t>
      </w:r>
    </w:p>
    <w:p w:rsidR="005C1865" w:rsidRDefault="005C1865">
      <w:pPr>
        <w:pStyle w:val="newncpi"/>
      </w:pPr>
      <w:r>
        <w:t>в пределах суммы, установленной в соответствии с подпунктом 1.1 настоящего пункта, – за счет средств республиканского бюджета;</w:t>
      </w:r>
    </w:p>
    <w:p w:rsidR="005C1865" w:rsidRDefault="005C1865">
      <w:pPr>
        <w:pStyle w:val="newncpi"/>
      </w:pPr>
      <w:r>
        <w:t xml:space="preserve">в сумме процентов, начисленных за период размещения средств семейного капитала во вклады (депозиты) «Семейный капитал», – за счет средств ОАО «АСБ </w:t>
      </w:r>
      <w:proofErr w:type="spellStart"/>
      <w:r>
        <w:t>Беларусбанк</w:t>
      </w:r>
      <w:proofErr w:type="spellEnd"/>
      <w:r>
        <w:t>».</w:t>
      </w:r>
    </w:p>
    <w:p w:rsidR="005C1865" w:rsidRDefault="005C1865">
      <w:pPr>
        <w:pStyle w:val="point"/>
      </w:pPr>
      <w:r>
        <w:t>2. Утвердить Положение о предоставлении семейного капитала при рождении (усыновлении, удочерении) в 2020–2024 годах третьего или последующих детей (прилагается).</w:t>
      </w:r>
    </w:p>
    <w:p w:rsidR="005C1865" w:rsidRDefault="005C1865">
      <w:pPr>
        <w:pStyle w:val="point"/>
      </w:pPr>
      <w:r>
        <w:lastRenderedPageBreak/>
        <w:t>3. Внести изменения в Указ Президента Республики Беларусь от 9 декабря 2014 г. № 572 «О дополнительных мерах государственной поддержки семей, воспитывающих детей» (приложение).</w:t>
      </w:r>
    </w:p>
    <w:p w:rsidR="005C1865" w:rsidRDefault="005C1865">
      <w:pPr>
        <w:pStyle w:val="point"/>
      </w:pPr>
      <w:r>
        <w:t>4. Совету Министров Республики Беларусь в трехмесячный срок принять меры по реализации настоящего Указа.</w:t>
      </w:r>
    </w:p>
    <w:p w:rsidR="005C1865" w:rsidRDefault="005C1865">
      <w:pPr>
        <w:pStyle w:val="point"/>
      </w:pPr>
      <w:r>
        <w:t>5. Договоры вклада (депозита) «Семейный капитал», заключенные до вступления в силу настоящего Указа, приведению в соответствие с требованиями настоящего Указа не подлежат и исполняются в соответствии с Указом Президента Республики Беларусь от 9 декабря 2014 г. № 572.</w:t>
      </w:r>
    </w:p>
    <w:p w:rsidR="005C1865" w:rsidRDefault="005C1865">
      <w:pPr>
        <w:pStyle w:val="point"/>
      </w:pPr>
      <w:r>
        <w:t>6. Настоящий Указ вступает в силу в следующем порядке:</w:t>
      </w:r>
    </w:p>
    <w:p w:rsidR="005C1865" w:rsidRDefault="005C1865">
      <w:pPr>
        <w:pStyle w:val="newncpi"/>
      </w:pPr>
      <w:r>
        <w:t>пункты 1–3 (за исключением норм, предусматривающих корректировку абзаца третьего пункта 12 Положения о единовременном предоставлении семьям безналичных денежных сре</w:t>
      </w:r>
      <w:proofErr w:type="gramStart"/>
      <w:r>
        <w:t>дств пр</w:t>
      </w:r>
      <w:proofErr w:type="gramEnd"/>
      <w:r>
        <w:t>и рождении, усыновлении (удочерении) третьего или последующих детей, утвержденного Указом Президента Республики Беларусь от 9 декабря 2014 г. № 572) и 5 – с 1 января 2020 г.;</w:t>
      </w:r>
    </w:p>
    <w:p w:rsidR="005C1865" w:rsidRDefault="005C1865">
      <w:pPr>
        <w:pStyle w:val="newncpi"/>
      </w:pPr>
      <w:r>
        <w:t>иные положения настоящего Указа – после его официального опубликования.</w:t>
      </w:r>
    </w:p>
    <w:p w:rsidR="005C1865" w:rsidRDefault="005C1865">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5C1865">
        <w:tc>
          <w:tcPr>
            <w:tcW w:w="2500" w:type="pct"/>
            <w:tcMar>
              <w:top w:w="0" w:type="dxa"/>
              <w:left w:w="6" w:type="dxa"/>
              <w:bottom w:w="0" w:type="dxa"/>
              <w:right w:w="6" w:type="dxa"/>
            </w:tcMar>
            <w:vAlign w:val="bottom"/>
            <w:hideMark/>
          </w:tcPr>
          <w:p w:rsidR="005C1865" w:rsidRDefault="005C186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C1865" w:rsidRDefault="005C1865">
            <w:pPr>
              <w:pStyle w:val="newncpi0"/>
              <w:jc w:val="right"/>
            </w:pPr>
            <w:proofErr w:type="spellStart"/>
            <w:r>
              <w:rPr>
                <w:rStyle w:val="pers"/>
              </w:rPr>
              <w:t>А.Лукашенко</w:t>
            </w:r>
            <w:proofErr w:type="spellEnd"/>
          </w:p>
        </w:tc>
      </w:tr>
    </w:tbl>
    <w:p w:rsidR="005C1865" w:rsidRDefault="005C1865">
      <w:pPr>
        <w:pStyle w:val="newncpi0"/>
      </w:pPr>
      <w:r>
        <w:t> </w:t>
      </w:r>
    </w:p>
    <w:p w:rsidR="005C1865" w:rsidRDefault="005C1865">
      <w:pPr>
        <w:pStyle w:val="newncpi"/>
      </w:pPr>
      <w:r>
        <w:t> </w:t>
      </w:r>
    </w:p>
    <w:tbl>
      <w:tblPr>
        <w:tblW w:w="5000" w:type="pct"/>
        <w:tblCellMar>
          <w:left w:w="0" w:type="dxa"/>
          <w:right w:w="0" w:type="dxa"/>
        </w:tblCellMar>
        <w:tblLook w:val="04A0" w:firstRow="1" w:lastRow="0" w:firstColumn="1" w:lastColumn="0" w:noHBand="0" w:noVBand="1"/>
      </w:tblPr>
      <w:tblGrid>
        <w:gridCol w:w="7024"/>
        <w:gridCol w:w="2342"/>
      </w:tblGrid>
      <w:tr w:rsidR="005C1865">
        <w:tc>
          <w:tcPr>
            <w:tcW w:w="3750" w:type="pct"/>
            <w:tcMar>
              <w:top w:w="0" w:type="dxa"/>
              <w:left w:w="6" w:type="dxa"/>
              <w:bottom w:w="0" w:type="dxa"/>
              <w:right w:w="6" w:type="dxa"/>
            </w:tcMar>
            <w:hideMark/>
          </w:tcPr>
          <w:p w:rsidR="005C1865" w:rsidRDefault="005C1865">
            <w:pPr>
              <w:pStyle w:val="newncpi"/>
            </w:pPr>
            <w:r>
              <w:t> </w:t>
            </w:r>
          </w:p>
        </w:tc>
        <w:tc>
          <w:tcPr>
            <w:tcW w:w="1250" w:type="pct"/>
            <w:tcMar>
              <w:top w:w="0" w:type="dxa"/>
              <w:left w:w="6" w:type="dxa"/>
              <w:bottom w:w="0" w:type="dxa"/>
              <w:right w:w="6" w:type="dxa"/>
            </w:tcMar>
            <w:hideMark/>
          </w:tcPr>
          <w:p w:rsidR="005C1865" w:rsidRDefault="005C1865">
            <w:pPr>
              <w:pStyle w:val="capu1"/>
            </w:pPr>
            <w:r>
              <w:t>УТВЕРЖДЕНО</w:t>
            </w:r>
          </w:p>
          <w:p w:rsidR="005C1865" w:rsidRDefault="005C1865">
            <w:pPr>
              <w:pStyle w:val="cap1"/>
            </w:pPr>
            <w:r>
              <w:t xml:space="preserve">Указ Президента </w:t>
            </w:r>
            <w:r>
              <w:br/>
              <w:t>Республики Беларусь</w:t>
            </w:r>
            <w:r>
              <w:br/>
              <w:t>18.09.2019 № 345</w:t>
            </w:r>
          </w:p>
        </w:tc>
      </w:tr>
    </w:tbl>
    <w:p w:rsidR="005C1865" w:rsidRDefault="005C1865">
      <w:pPr>
        <w:pStyle w:val="titleu"/>
      </w:pPr>
      <w:r>
        <w:t>ПОЛОЖЕНИЕ</w:t>
      </w:r>
      <w:r>
        <w:br/>
        <w:t>о предоставлении семейного капитала при рождении (усыновлении, удочерении) в 2020–2024 годах третьего или последующих детей</w:t>
      </w:r>
    </w:p>
    <w:p w:rsidR="005C1865" w:rsidRDefault="005C1865">
      <w:pPr>
        <w:pStyle w:val="chapter"/>
      </w:pPr>
      <w:r>
        <w:t>ГЛАВА 1</w:t>
      </w:r>
      <w:r>
        <w:br/>
        <w:t>ОБЩИЕ ПОЛОЖЕНИЯ</w:t>
      </w:r>
    </w:p>
    <w:p w:rsidR="005C1865" w:rsidRDefault="005C1865">
      <w:pPr>
        <w:pStyle w:val="point"/>
      </w:pPr>
      <w:r>
        <w:t>1. Настоящим Положением определяются порядок и условия предоставления семейного капитала при рождении (усыновлении, удочерении) в 2020–2024 годах третьего или последующих детей.</w:t>
      </w:r>
    </w:p>
    <w:p w:rsidR="005C1865" w:rsidRDefault="005C1865">
      <w:pPr>
        <w:pStyle w:val="point"/>
      </w:pPr>
      <w:r>
        <w:t>2. Средства семейного капитала предоставляются семьям для использования в Республике Беларусь в полном объеме либо по частям в безналичном порядке по одному или нескольким направлениям.</w:t>
      </w:r>
    </w:p>
    <w:p w:rsidR="005C1865" w:rsidRDefault="005C1865">
      <w:pPr>
        <w:pStyle w:val="newncpi"/>
      </w:pPr>
      <w:r>
        <w:t xml:space="preserve">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w:t>
      </w:r>
      <w:proofErr w:type="gramStart"/>
      <w:r>
        <w:t>на</w:t>
      </w:r>
      <w:proofErr w:type="gramEnd"/>
      <w:r>
        <w:t>:</w:t>
      </w:r>
    </w:p>
    <w:p w:rsidR="005C1865" w:rsidRDefault="005C1865">
      <w:pPr>
        <w:pStyle w:val="newncpi"/>
      </w:pPr>
      <w:r>
        <w:t>улучшение жилищных условий;</w:t>
      </w:r>
    </w:p>
    <w:p w:rsidR="005C1865" w:rsidRDefault="005C1865">
      <w:pPr>
        <w:pStyle w:val="newncpi"/>
      </w:pPr>
      <w:r>
        <w:t>получение образования;</w:t>
      </w:r>
    </w:p>
    <w:p w:rsidR="005C1865" w:rsidRDefault="005C1865">
      <w:pPr>
        <w:pStyle w:val="newncpi"/>
      </w:pPr>
      <w:r>
        <w:t>получение медицинской помощи;</w:t>
      </w:r>
    </w:p>
    <w:p w:rsidR="005C1865" w:rsidRDefault="005C1865">
      <w:pPr>
        <w:pStyle w:val="newncpi"/>
      </w:pPr>
      <w:r>
        <w:t>приобретение товаров, предназначенных для социальной реабилитации и интеграции инвалидов в общество;</w:t>
      </w:r>
    </w:p>
    <w:p w:rsidR="005C1865" w:rsidRDefault="005C1865">
      <w:pPr>
        <w:pStyle w:val="newncpi"/>
      </w:pPr>
      <w:r>
        <w:t>получение услуг в сфере социального обслуживания;</w:t>
      </w:r>
    </w:p>
    <w:p w:rsidR="005C1865" w:rsidRDefault="005C1865">
      <w:pPr>
        <w:pStyle w:val="newncpi"/>
      </w:pPr>
      <w:r>
        <w:t>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w:t>
      </w:r>
    </w:p>
    <w:p w:rsidR="005C1865" w:rsidRDefault="005C1865">
      <w:pPr>
        <w:pStyle w:val="newncpi"/>
      </w:pPr>
      <w:r>
        <w:t xml:space="preserve">Досрочно (независимо от времени, прошедшего с даты назначения семейного капитала) средства семейного капитала могут быть использованы </w:t>
      </w:r>
      <w:proofErr w:type="gramStart"/>
      <w:r>
        <w:t>на</w:t>
      </w:r>
      <w:proofErr w:type="gramEnd"/>
      <w:r>
        <w:t>:</w:t>
      </w:r>
    </w:p>
    <w:p w:rsidR="005C1865" w:rsidRDefault="005C1865">
      <w:pPr>
        <w:pStyle w:val="newncpi"/>
      </w:pPr>
      <w:proofErr w:type="gramStart"/>
      <w:r>
        <w:t xml:space="preserve">строительство (реконструкцию)*, приобретение одноквартирных жилых домов, квартир в многоквартирных или блокированных жилых домах (далее, если не установлено </w:t>
      </w:r>
      <w:r>
        <w:lastRenderedPageBreak/>
        <w:t>иное, – жилое помещение),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r>
        <w:t xml:space="preserve"> </w:t>
      </w:r>
      <w:proofErr w:type="gramStart"/>
      <w:r>
        <w:t>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roofErr w:type="gramEnd"/>
    </w:p>
    <w:p w:rsidR="005C1865" w:rsidRDefault="005C1865">
      <w:pPr>
        <w:pStyle w:val="newncpi"/>
      </w:pPr>
      <w:r>
        <w:t>получение на платной основе членом (членами) семьи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5C1865" w:rsidRDefault="005C1865">
      <w:pPr>
        <w:pStyle w:val="newncpi"/>
      </w:pPr>
      <w:r>
        <w:t>получение членом (членами) семьи следующих платных медицинских услуг, оказываемых организациями здравоохранения:</w:t>
      </w:r>
    </w:p>
    <w:p w:rsidR="005C1865" w:rsidRDefault="005C1865">
      <w:pPr>
        <w:pStyle w:val="newncpi"/>
      </w:pPr>
      <w: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 и (или) иных лекарственных средств вместо включенных в Республиканский формуляр лекарственных средств;</w:t>
      </w:r>
    </w:p>
    <w:p w:rsidR="005C1865" w:rsidRDefault="005C1865">
      <w:pPr>
        <w:pStyle w:val="newncpi"/>
      </w:pPr>
      <w:r>
        <w:t xml:space="preserve">стоматологические услуги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5C1865" w:rsidRDefault="005C1865">
      <w:pPr>
        <w:pStyle w:val="newncpi"/>
      </w:pPr>
      <w:r>
        <w:t>приобретение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 по перечню согласно приложению.</w:t>
      </w:r>
    </w:p>
    <w:p w:rsidR="005C1865" w:rsidRDefault="005C1865">
      <w:pPr>
        <w:pStyle w:val="snoskiline"/>
      </w:pPr>
      <w:r>
        <w:t>______________________________</w:t>
      </w:r>
    </w:p>
    <w:p w:rsidR="005C1865" w:rsidRDefault="005C1865">
      <w:pPr>
        <w:pStyle w:val="snoski"/>
      </w:pPr>
      <w:r>
        <w:t>* Строительство (реконструкция):</w:t>
      </w:r>
    </w:p>
    <w:p w:rsidR="005C1865" w:rsidRDefault="005C1865">
      <w:pPr>
        <w:pStyle w:val="snoski"/>
      </w:pPr>
      <w:r>
        <w:t>жилого помещения – в составе организации застройщиков либо на основании договора создания объекта долевого строительства;</w:t>
      </w:r>
    </w:p>
    <w:p w:rsidR="005C1865" w:rsidRDefault="005C1865">
      <w:pPr>
        <w:pStyle w:val="snoski"/>
      </w:pPr>
      <w:r>
        <w:t>одноквартирного жилого дома или квартиры в блокированном жилом доме – подрядным либо хозяйственным способом.</w:t>
      </w:r>
    </w:p>
    <w:p w:rsidR="005C1865" w:rsidRDefault="005C1865">
      <w:pPr>
        <w:pStyle w:val="snoski"/>
        <w:spacing w:after="240"/>
      </w:pPr>
      <w:r>
        <w:t>Для целей настоящего Указа термин «реконструкция» используется в значении, определенном в Законе Республики Беларусь от 5 июля 2004 г. № 300-З «Об архитектурной, градостроительной и строительной деятельности в Республике Беларусь».</w:t>
      </w:r>
    </w:p>
    <w:p w:rsidR="005C1865" w:rsidRDefault="005C1865">
      <w:pPr>
        <w:pStyle w:val="newncpi"/>
      </w:pPr>
      <w:r>
        <w:t xml:space="preserve">По направлениям, указанным в абзаце втором части третьей настоящего пункта, средства семейного капитала могут быть использованы досрочно </w:t>
      </w:r>
      <w:proofErr w:type="gramStart"/>
      <w:r>
        <w:t>на</w:t>
      </w:r>
      <w:proofErr w:type="gramEnd"/>
      <w:r>
        <w:t>:</w:t>
      </w:r>
    </w:p>
    <w:p w:rsidR="005C1865" w:rsidRDefault="005C1865">
      <w:pPr>
        <w:pStyle w:val="newncpi"/>
      </w:pPr>
      <w:proofErr w:type="gramStart"/>
      <w:r>
        <w:t>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при добровольном волеизъявлении граждан и членов их семей на снятие с учета нуждающихся в улучшении жилищных условий после государственной регистрации права собственности на жилое помещение, долю (доли) в</w:t>
      </w:r>
      <w:proofErr w:type="gramEnd"/>
      <w:r>
        <w:t> </w:t>
      </w:r>
      <w:proofErr w:type="gramStart"/>
      <w:r>
        <w:t>праве</w:t>
      </w:r>
      <w:proofErr w:type="gramEnd"/>
      <w:r>
        <w:t xml:space="preserve"> собственности на него;</w:t>
      </w:r>
    </w:p>
    <w:p w:rsidR="005C1865" w:rsidRDefault="005C1865">
      <w:pPr>
        <w:pStyle w:val="newncpi"/>
      </w:pPr>
      <w: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если граждане в установленном порядке направлены на строительство (реконструкцию);</w:t>
      </w:r>
    </w:p>
    <w:p w:rsidR="005C1865" w:rsidRDefault="005C1865">
      <w:pPr>
        <w:pStyle w:val="newncpi"/>
      </w:pPr>
      <w:r>
        <w:t>приобретение:</w:t>
      </w:r>
    </w:p>
    <w:p w:rsidR="005C1865" w:rsidRDefault="005C1865">
      <w:pPr>
        <w:pStyle w:val="newncpi"/>
      </w:pPr>
      <w:r>
        <w:t>жилого помещения, доли (долей) в праве собственности на него – в пределах их рыночной стоимости;</w:t>
      </w:r>
    </w:p>
    <w:p w:rsidR="005C1865" w:rsidRDefault="005C1865">
      <w:pPr>
        <w:pStyle w:val="newncpi"/>
      </w:pPr>
      <w:r>
        <w:t>одноквартирных жилых домов, квартир в блокированных жилых домах, доли (долей) в праве собственности на них –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rsidR="005C1865" w:rsidRDefault="005C1865">
      <w:pPr>
        <w:pStyle w:val="newncpi"/>
      </w:pPr>
      <w:r>
        <w:lastRenderedPageBreak/>
        <w:t>доли (долей) в праве собственности на жилое помещение – если после приобретения указанной доли (долей) гражданин будет являться единственным собственником всего жилого помещения (за исключением приобретения жилого помещения, строительство которого осуществлялось по государственному заказу).</w:t>
      </w:r>
    </w:p>
    <w:p w:rsidR="005C1865" w:rsidRDefault="005C1865">
      <w:pPr>
        <w:pStyle w:val="newncpi"/>
      </w:pPr>
      <w:r>
        <w:t>Порядок и конкретные цели использования средств семейного капитала в соответствии с частью второй настоящего пункта, а также порядок и условия досрочного использования средств семейного капитала в соответствии с частями третьей и четвертой настоящего пункта устанавливаются Советом Министров Республики Беларусь.</w:t>
      </w:r>
    </w:p>
    <w:p w:rsidR="005C1865" w:rsidRDefault="005C1865">
      <w:pPr>
        <w:pStyle w:val="point"/>
      </w:pPr>
      <w:r>
        <w:t>3. </w:t>
      </w:r>
      <w:proofErr w:type="gramStart"/>
      <w:r>
        <w:t>Право на назначение семейного капитала в соответствии с Указом, утвердившим настоящее Положение,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t>удочеритель</w:t>
      </w:r>
      <w:proofErr w:type="spellEnd"/>
      <w:r>
        <w:t>) при рождении (усыновлении, удочерении) с 1 января 2020 г. по 31 декабря 2024 г. третьего или последующих детей, если с учетом родившегося (усыновленного, удочеренного) ребенка (детей) в семье</w:t>
      </w:r>
      <w:proofErr w:type="gramEnd"/>
      <w:r>
        <w:t xml:space="preserve"> воспитываются не менее троих детей в возрасте до 18 лет. </w:t>
      </w:r>
      <w:proofErr w:type="gramStart"/>
      <w:r>
        <w:t>При этом дата рождения усыновленного (удочеренного) ребенка (детей) должна быть не ранее 1 января 2015 г., и на момент усыновления (удочерения) он (они) не являлся (не являлись) пасынком или падчерицей (пасынками или падчерицами) лица, усыновившего (удочерившего) его (их).</w:t>
      </w:r>
      <w:proofErr w:type="gramEnd"/>
    </w:p>
    <w:p w:rsidR="005C1865" w:rsidRDefault="005C1865">
      <w:pPr>
        <w:pStyle w:val="newncpi"/>
      </w:pPr>
      <w:r>
        <w:t>Если в полной семье мать (мачеха) не имеет права на назначение семейного капитала, такое право имеет отец (отчим) при соблюдении условий, установленных настоящим Положением.</w:t>
      </w:r>
    </w:p>
    <w:p w:rsidR="005C1865" w:rsidRDefault="005C1865">
      <w:pPr>
        <w:pStyle w:val="point"/>
      </w:pPr>
      <w:r>
        <w:t>4. При определении права на назначение семейного капитала состав семьи определяется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5C1865" w:rsidRDefault="005C1865">
      <w:pPr>
        <w:pStyle w:val="newncpi"/>
      </w:pPr>
      <w:r>
        <w:t>Состав семьи для предоставления права на назначение семейного капитала устанавливается Советом Министров Республики Беларусь.</w:t>
      </w:r>
    </w:p>
    <w:p w:rsidR="005C1865" w:rsidRDefault="005C1865">
      <w:pPr>
        <w:pStyle w:val="chapter"/>
      </w:pPr>
      <w:r>
        <w:t>ГЛАВА 2</w:t>
      </w:r>
      <w:r>
        <w:br/>
        <w:t>ПОРЯДОК И УСЛОВИЯ ПРЕДОСТАВЛЕНИЯ СЕМЕЙНОГО КАПИТАЛА</w:t>
      </w:r>
    </w:p>
    <w:p w:rsidR="005C1865" w:rsidRDefault="005C1865">
      <w:pPr>
        <w:pStyle w:val="point"/>
      </w:pPr>
      <w:r>
        <w:t>5. За назначением семейного капитала лица, указанные в пункте 3 настоящего Положения, вправе обратиться в местные исполнительные и распорядительные органы в соответствии с регистрацией по месту жительства (месту пребывания) в течение 6 месяцев со дня рождения (усыновления, удочерения) третьего или последующих детей. В случае пропуска указанного срока местный исполнительный и распорядительный орган вправе восстановить его с учетом конкретных обстоятельств.</w:t>
      </w:r>
    </w:p>
    <w:p w:rsidR="005C1865" w:rsidRDefault="005C1865">
      <w:pPr>
        <w:pStyle w:val="newncpi"/>
      </w:pPr>
      <w:r>
        <w:t>Решение о назначении (отказе в назначении)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 Форма заявления и перечень документов для назначения семейного капитала определяются Советом Министров Республики Беларусь.</w:t>
      </w:r>
    </w:p>
    <w:p w:rsidR="005C1865" w:rsidRDefault="005C1865">
      <w:pPr>
        <w:pStyle w:val="point"/>
      </w:pPr>
      <w:r>
        <w:t xml:space="preserve">6. Право на распоряжение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в соответствии с частью второй пункта 2 настоящего Положения предоставляется любому члену семьи с согласия других членов семьи. Если согласие членов семьи не достигнуто, семейный капитал распределяется между всеми членами семьи в равных долях. Распоряжение долями семейного капитала несовершеннолетних членов семьи осуществляют их законные представители.</w:t>
      </w:r>
    </w:p>
    <w:p w:rsidR="005C1865" w:rsidRDefault="005C1865">
      <w:pPr>
        <w:pStyle w:val="newncpi"/>
      </w:pPr>
      <w:r>
        <w:t xml:space="preserve">Право на досрочное распоряжение средствами семейного капитала в соответствии с частью третьей пункта 2 настоящего Положения предоставляется лицу, которому назначен семейный капитал. Если лицо, которому назначен семейный капитал, не </w:t>
      </w:r>
      <w:r>
        <w:lastRenderedPageBreak/>
        <w:t>учитывается в составе семьи, а также в иных случаях, когда обращение такого лица невозможно, право на досрочное распоряжение средствами семейного капитала предоставляется любому другому члену семьи.</w:t>
      </w:r>
    </w:p>
    <w:p w:rsidR="005C1865" w:rsidRDefault="005C1865">
      <w:pPr>
        <w:pStyle w:val="point"/>
      </w:pPr>
      <w:r>
        <w:t>7. </w:t>
      </w:r>
      <w:proofErr w:type="gramStart"/>
      <w:r>
        <w:t>Право на распоряжение средствами семейного капитала (в том числе досрочное) предоставляется для их использования в отношении члена (членов) семьи, учитываемого (учитываемых) в ее составе.</w:t>
      </w:r>
      <w:proofErr w:type="gramEnd"/>
    </w:p>
    <w:p w:rsidR="005C1865" w:rsidRDefault="005C1865">
      <w:pPr>
        <w:pStyle w:val="newncpi"/>
      </w:pPr>
      <w:r>
        <w:t>При определении права на распоряжение средствами семейного капитала (в том числе досрочное) и на их использование в соответствии с пунктом 2 настоящего Положения состав семьи определяется на дату подачи заявления о распоряжении средствами семейного капитала (в том числе досрочном).</w:t>
      </w:r>
    </w:p>
    <w:p w:rsidR="005C1865" w:rsidRDefault="005C1865">
      <w:pPr>
        <w:pStyle w:val="newncpi"/>
      </w:pPr>
      <w:r>
        <w:t>Состав семьи для предоставления права на распоряжение средствами семейного капитала (в том числе досрочное) и на их использование в соответствии с пунктом 2 настоящего Положения устанавливается Советом Министров Республики Беларусь.</w:t>
      </w:r>
    </w:p>
    <w:p w:rsidR="005C1865" w:rsidRDefault="005C1865">
      <w:pPr>
        <w:pStyle w:val="point"/>
      </w:pPr>
      <w:r>
        <w:t>8. За распоряжением средствами семейного капитала (в том числе досрочным) лица, указанные в пункте 6 настоящего Положения,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(месту пребывания).</w:t>
      </w:r>
    </w:p>
    <w:p w:rsidR="005C1865" w:rsidRDefault="005C1865">
      <w:pPr>
        <w:pStyle w:val="newncpi"/>
      </w:pPr>
      <w:r>
        <w:t>Решение о распоряжении (отказе в распоряжении) средствами семейного капитала (в том числе досрочном) принимается местным исполнительным и распорядительным органом в месячный срок со дня подачи заявления о распоряжении средствами семейного капитала (в том числе досрочном). Формы заявлений и перечень документов для распоряжения средствами семейного капитала (в том числе досрочного) определяются Советом Министров Республики Беларусь.</w:t>
      </w:r>
    </w:p>
    <w:p w:rsidR="005C1865" w:rsidRDefault="005C1865">
      <w:pPr>
        <w:pStyle w:val="point"/>
      </w:pPr>
      <w:r>
        <w:t>9. Лица,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могут использовать их в отношении:</w:t>
      </w:r>
    </w:p>
    <w:p w:rsidR="005C1865" w:rsidRDefault="005C1865">
      <w:pPr>
        <w:pStyle w:val="newncpi"/>
      </w:pPr>
      <w:r>
        <w:t xml:space="preserve">любого члена семьи, указанного в решении о распоряжении средствами семейного капитала, после истечения 18 лет </w:t>
      </w:r>
      <w:proofErr w:type="gramStart"/>
      <w:r>
        <w:t>с даты рождения</w:t>
      </w:r>
      <w:proofErr w:type="gramEnd"/>
      <w:r>
        <w:t xml:space="preserve"> ребенка, в связи с рождением (усыновлением, удочерением) которого семья приобрела право на назначение семейного капитала, по любому направлению, указанному в части второй пункта 2 настоящего Положения;</w:t>
      </w:r>
    </w:p>
    <w:p w:rsidR="005C1865" w:rsidRDefault="005C1865">
      <w:pPr>
        <w:pStyle w:val="newncpi"/>
      </w:pPr>
      <w:proofErr w:type="gramStart"/>
      <w:r>
        <w:t>члена (членов) семьи, указанного (указанных) в решении о досрочном распоряжении средствами семейного капитала, по предусмотренному в этом решении направлению использования.</w:t>
      </w:r>
      <w:proofErr w:type="gramEnd"/>
    </w:p>
    <w:p w:rsidR="005C1865" w:rsidRDefault="005C1865">
      <w:pPr>
        <w:pStyle w:val="point"/>
      </w:pPr>
      <w:r>
        <w:t>9</w:t>
      </w:r>
      <w:r>
        <w:rPr>
          <w:vertAlign w:val="superscript"/>
        </w:rPr>
        <w:t>1</w:t>
      </w:r>
      <w:r>
        <w:t>. При приобретении с использованием средств семейного капитала жилых помещений, доли (долей) в праве собственности на них 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p>
    <w:p w:rsidR="005C1865" w:rsidRDefault="005C1865">
      <w:pPr>
        <w:pStyle w:val="newncpi"/>
      </w:pPr>
      <w:proofErr w:type="gramStart"/>
      <w:r>
        <w:t>В исключительных случаях (переезд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допускается отчуждение жилых помещений, доли (долей) в праве собственности на них до истечения срока, установленного в части первой настоящего пункта, с разрешения местного исполнительного и распорядительного органа по</w:t>
      </w:r>
      <w:proofErr w:type="gramEnd"/>
      <w:r>
        <w:t> месту нахождения жилого помещения.</w:t>
      </w:r>
    </w:p>
    <w:p w:rsidR="005C1865" w:rsidRDefault="005C1865">
      <w:pPr>
        <w:pStyle w:val="newncpi"/>
      </w:pPr>
      <w:proofErr w:type="gramStart"/>
      <w:r>
        <w:t>Ограничение (обременение) прав на приобретенные с использованием средств семейного капитала жилое помещение, долю (доли) в праве собственности на него не возникает (не регистрируется) при нахождении жилого помещения в залоге (ипотеке) в соответствии с законодательными актами или договором о залоге для обеспечения возврата кредита, предоставленного на приобретение данного жилого помещения, доли (долей) в праве собственности на него, и выплаты процентов за</w:t>
      </w:r>
      <w:proofErr w:type="gramEnd"/>
      <w:r>
        <w:t> пользование этим кредитом.</w:t>
      </w:r>
    </w:p>
    <w:p w:rsidR="005C1865" w:rsidRDefault="005C1865">
      <w:pPr>
        <w:pStyle w:val="newncpi"/>
      </w:pPr>
      <w:proofErr w:type="gramStart"/>
      <w:r>
        <w:lastRenderedPageBreak/>
        <w:t>В случае погашения задолженности по кредиту, предоставленному на приобретение жилого помещения, доли (долей) в праве собственности на него, с использованием средств семейного капитала до истечения 5 лет со дня государственной регистрации права собственности на эти жилое помещение, долю (доли) в праве собственности на него ограничение (обременение) прав на жилое помещение, долю (доли) в праве собственности на него возникает (регистрируется) со</w:t>
      </w:r>
      <w:proofErr w:type="gramEnd"/>
      <w:r>
        <w:t> дня погашения задолженности по кредиту до истечения срока, установленного в части первой настоящего пункта.</w:t>
      </w:r>
    </w:p>
    <w:p w:rsidR="005C1865" w:rsidRDefault="005C1865">
      <w:pPr>
        <w:pStyle w:val="newncpi"/>
      </w:pPr>
      <w:proofErr w:type="gramStart"/>
      <w:r>
        <w:t>Запрет на отчуждение жилых помещений, приобретенных с использованием средств семейного капитала, в течение 5 лет со дня государственной регистрации права собственности на них, установленный в настоящем пункте, не распространяется на решения о досрочном распоряжении средствами семейного капитала местных исполнительных и распорядительных органов, принятые до 1 января 2022 г., если право собственности на такие жилые помещения зарегистрировано в 2020–2021 годах.</w:t>
      </w:r>
      <w:proofErr w:type="gramEnd"/>
    </w:p>
    <w:p w:rsidR="005C1865" w:rsidRDefault="005C1865">
      <w:pPr>
        <w:pStyle w:val="point"/>
      </w:pPr>
      <w:r>
        <w:t>10. Средства семейного капитала не могут быть использованы на цели, не предусмотренные настоящим Положением.</w:t>
      </w:r>
    </w:p>
    <w:p w:rsidR="005C1865" w:rsidRDefault="005C1865">
      <w:pPr>
        <w:pStyle w:val="newncpi"/>
      </w:pPr>
      <w:r>
        <w:t>В случае необоснованного использования средств семейного капитала (на цели, не предусмотренные настоящим Положением, а также вследствие представления документов с заведомо недостоверными сведениями, непредставления сведений и (или) документов о наступлении обстоятельств, влияющих на распоряжение средствами семейного капитала, в иных случаях) они подлежат возврату виновными лицами. В случае отказа от добровольного возврата необоснованно использованных средств семейного капитала они взыскиваются в судебном порядке.</w:t>
      </w:r>
    </w:p>
    <w:p w:rsidR="005C1865" w:rsidRDefault="005C1865">
      <w:pPr>
        <w:pStyle w:val="chapter"/>
      </w:pPr>
      <w:r>
        <w:t>ГЛАВА 3</w:t>
      </w:r>
      <w:r>
        <w:br/>
        <w:t>УПРАВЛЕНИЕ СРЕДСТВАМИ СЕМЕЙНОГО КАПИТАЛА</w:t>
      </w:r>
    </w:p>
    <w:p w:rsidR="005C1865" w:rsidRDefault="005C1865">
      <w:pPr>
        <w:pStyle w:val="point"/>
      </w:pPr>
      <w:r>
        <w:t xml:space="preserve">11. Средства семейного капитала размещаются во вклады (депозиты) «Семейный капитал» в ОАО «АСБ </w:t>
      </w:r>
      <w:proofErr w:type="spellStart"/>
      <w:r>
        <w:t>Беларусбанк</w:t>
      </w:r>
      <w:proofErr w:type="spellEnd"/>
      <w:r>
        <w:t>».</w:t>
      </w:r>
    </w:p>
    <w:p w:rsidR="005C1865" w:rsidRDefault="005C1865">
      <w:pPr>
        <w:pStyle w:val="point"/>
      </w:pPr>
      <w:r>
        <w:t xml:space="preserve">12. ОАО «АСБ </w:t>
      </w:r>
      <w:proofErr w:type="spellStart"/>
      <w:r>
        <w:t>Беларусбанк</w:t>
      </w:r>
      <w:proofErr w:type="spellEnd"/>
      <w:r>
        <w:t>» осуществляет:</w:t>
      </w:r>
    </w:p>
    <w:p w:rsidR="005C1865" w:rsidRDefault="005C1865">
      <w:pPr>
        <w:pStyle w:val="newncpi"/>
      </w:pPr>
      <w:r>
        <w:t>открытие и ведение счетов по учету вкладов (депозитов) «Семейный капитал»;</w:t>
      </w:r>
    </w:p>
    <w:p w:rsidR="005C1865" w:rsidRDefault="005C1865">
      <w:pPr>
        <w:pStyle w:val="newncpi"/>
      </w:pPr>
      <w:r>
        <w:t>начисление, капитализацию и выплату процентов по вкладам (депозитам) «Семейный капитал»;</w:t>
      </w:r>
    </w:p>
    <w:p w:rsidR="005C1865" w:rsidRDefault="005C1865">
      <w:pPr>
        <w:pStyle w:val="newncpi"/>
      </w:pPr>
      <w:r>
        <w:t>перечисление средств на счета организаций, указанных лицами, которым местными исполнительными и распорядительными органами предоставлено право на распоряжение средствами семейного капитала (в том числе досрочное), в заявлении о распоряжении средствами семейного капитала по направлениям их использования (в том числе досрочного) в соответствии с частями второй и третьей пункта 2 настоящего Положения.</w:t>
      </w:r>
    </w:p>
    <w:p w:rsidR="005C1865" w:rsidRDefault="005C1865">
      <w:pPr>
        <w:pStyle w:val="point"/>
      </w:pPr>
      <w:r>
        <w:t xml:space="preserve">13. Проценты, начисленные ОАО «АСБ </w:t>
      </w:r>
      <w:proofErr w:type="spellStart"/>
      <w:r>
        <w:t>Беларусбанк</w:t>
      </w:r>
      <w:proofErr w:type="spellEnd"/>
      <w:r>
        <w:t>» в размере индекса потребительских цен (ноябрь года, предшествующего году начисления процентов, к ноябрю предыдущего года) за период нахождения денежных средств во вкладах (депозитах) «Семейный капитал», капитализируются (зачисляются во вклады (депозиты) «Семейный капитал»):</w:t>
      </w:r>
    </w:p>
    <w:p w:rsidR="005C1865" w:rsidRDefault="005C1865">
      <w:pPr>
        <w:pStyle w:val="newncpi"/>
      </w:pPr>
      <w:r>
        <w:t>ежегодно в последний рабочий день года;</w:t>
      </w:r>
    </w:p>
    <w:p w:rsidR="005C1865" w:rsidRDefault="005C1865">
      <w:pPr>
        <w:pStyle w:val="newncpi"/>
      </w:pPr>
      <w:r>
        <w:t>при полном истребовании средств семейного капитала.</w:t>
      </w:r>
    </w:p>
    <w:p w:rsidR="005C1865" w:rsidRDefault="005C1865">
      <w:pPr>
        <w:pStyle w:val="newncpi"/>
      </w:pPr>
      <w:r>
        <w:t>Капитализированные проценты становятся частью семейного капитала.</w:t>
      </w:r>
    </w:p>
    <w:p w:rsidR="005C1865" w:rsidRDefault="005C1865">
      <w:pPr>
        <w:pStyle w:val="point"/>
      </w:pPr>
      <w:r>
        <w:t xml:space="preserve">14. Сохранность средств семейного капитала в ОАО «АСБ </w:t>
      </w:r>
      <w:proofErr w:type="spellStart"/>
      <w:r>
        <w:t>Беларусбанк</w:t>
      </w:r>
      <w:proofErr w:type="spellEnd"/>
      <w:r>
        <w:t>» гарантируется государством.</w:t>
      </w:r>
    </w:p>
    <w:p w:rsidR="005C1865" w:rsidRDefault="005C1865">
      <w:pPr>
        <w:pStyle w:val="chapter"/>
      </w:pPr>
      <w:r>
        <w:t>ГЛАВА 4</w:t>
      </w:r>
      <w:r>
        <w:br/>
        <w:t>ЗАКЛЮЧИТЕЛЬНЫЕ ПОЛОЖЕНИЯ</w:t>
      </w:r>
    </w:p>
    <w:p w:rsidR="005C1865" w:rsidRDefault="005C1865">
      <w:pPr>
        <w:pStyle w:val="point"/>
      </w:pPr>
      <w:r>
        <w:t xml:space="preserve">15. На денежные средства, размещенные во вклады (депозиты) «Семейный капитал», арест не налагается, обращение взыскания в бесспорном порядке не производится, </w:t>
      </w:r>
      <w:r>
        <w:lastRenderedPageBreak/>
        <w:t>приостановление операций по счетам по учету вкладов (депозитов) «Семейный капитал» не осуществляется.</w:t>
      </w:r>
    </w:p>
    <w:p w:rsidR="005C1865" w:rsidRDefault="005C1865">
      <w:pPr>
        <w:pStyle w:val="point"/>
      </w:pPr>
      <w:r>
        <w:t>16. Изменение количественного состава семьи после назначения семейного капитала на размер семейного капитала не влияет.</w:t>
      </w:r>
    </w:p>
    <w:p w:rsidR="005C1865" w:rsidRDefault="005C1865">
      <w:pPr>
        <w:pStyle w:val="point"/>
      </w:pPr>
      <w:r>
        <w:t>17. </w:t>
      </w:r>
      <w:proofErr w:type="gramStart"/>
      <w:r>
        <w:t>Средства семейного капитала (в том числе начисленные проценты),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roofErr w:type="gramEnd"/>
    </w:p>
    <w:p w:rsidR="005C1865" w:rsidRDefault="005C1865">
      <w:pPr>
        <w:pStyle w:val="newncpi"/>
      </w:pPr>
      <w:proofErr w:type="gramStart"/>
      <w:r>
        <w:t>Средства семейного капитала (в том числе начисленные проценты),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подлежат возврату в республиканский бюджет.</w:t>
      </w:r>
      <w:proofErr w:type="gramEnd"/>
    </w:p>
    <w:p w:rsidR="005C1865" w:rsidRDefault="005C1865">
      <w:pPr>
        <w:pStyle w:val="point"/>
      </w:pPr>
      <w:r>
        <w:t>18. Порядок и условия назначения, финансирования (перечисления), распоряжения средствами семейного капитала устанавливаются Советом Министров Республики Беларусь.</w:t>
      </w:r>
    </w:p>
    <w:tbl>
      <w:tblPr>
        <w:tblW w:w="5000" w:type="pct"/>
        <w:tblCellMar>
          <w:left w:w="0" w:type="dxa"/>
          <w:right w:w="0" w:type="dxa"/>
        </w:tblCellMar>
        <w:tblLook w:val="04A0" w:firstRow="1" w:lastRow="0" w:firstColumn="1" w:lastColumn="0" w:noHBand="0" w:noVBand="1"/>
      </w:tblPr>
      <w:tblGrid>
        <w:gridCol w:w="5961"/>
        <w:gridCol w:w="3405"/>
      </w:tblGrid>
      <w:tr w:rsidR="005C1865">
        <w:tc>
          <w:tcPr>
            <w:tcW w:w="3182" w:type="pct"/>
            <w:tcMar>
              <w:top w:w="0" w:type="dxa"/>
              <w:left w:w="6" w:type="dxa"/>
              <w:bottom w:w="0" w:type="dxa"/>
              <w:right w:w="6" w:type="dxa"/>
            </w:tcMar>
            <w:hideMark/>
          </w:tcPr>
          <w:p w:rsidR="005C1865" w:rsidRDefault="005C1865">
            <w:pPr>
              <w:pStyle w:val="newncpi"/>
              <w:ind w:firstLine="0"/>
            </w:pPr>
            <w:r>
              <w:t>  </w:t>
            </w:r>
          </w:p>
        </w:tc>
        <w:tc>
          <w:tcPr>
            <w:tcW w:w="1818" w:type="pct"/>
            <w:tcMar>
              <w:top w:w="0" w:type="dxa"/>
              <w:left w:w="6" w:type="dxa"/>
              <w:bottom w:w="0" w:type="dxa"/>
              <w:right w:w="6" w:type="dxa"/>
            </w:tcMar>
            <w:hideMark/>
          </w:tcPr>
          <w:p w:rsidR="005C1865" w:rsidRDefault="005C1865">
            <w:pPr>
              <w:pStyle w:val="append1"/>
            </w:pPr>
            <w:r>
              <w:t>Приложение</w:t>
            </w:r>
          </w:p>
          <w:p w:rsidR="005C1865" w:rsidRDefault="005C1865">
            <w:pPr>
              <w:pStyle w:val="append"/>
            </w:pPr>
            <w:r>
              <w:t xml:space="preserve">к Положению о предоставлении </w:t>
            </w:r>
            <w:r>
              <w:br/>
              <w:t xml:space="preserve">семейного капитала при рождении </w:t>
            </w:r>
            <w:r>
              <w:br/>
              <w:t xml:space="preserve">(усыновлении, удочерении) </w:t>
            </w:r>
            <w:r>
              <w:br/>
              <w:t xml:space="preserve">в 2020–2024 годах третьего </w:t>
            </w:r>
            <w:r>
              <w:br/>
              <w:t xml:space="preserve">или последующих детей </w:t>
            </w:r>
            <w:r>
              <w:br/>
              <w:t xml:space="preserve">(в редакции Указа Президента </w:t>
            </w:r>
            <w:r>
              <w:br/>
              <w:t>Республики Беларусь</w:t>
            </w:r>
            <w:r>
              <w:br/>
              <w:t>12.10.2021 № 389)</w:t>
            </w:r>
          </w:p>
        </w:tc>
      </w:tr>
    </w:tbl>
    <w:p w:rsidR="005C1865" w:rsidRDefault="005C1865">
      <w:pPr>
        <w:pStyle w:val="titlep"/>
        <w:jc w:val="left"/>
      </w:pPr>
      <w:r>
        <w:t>ПЕРЕЧЕНЬ</w:t>
      </w:r>
      <w:r>
        <w:br/>
        <w:t xml:space="preserve">товаров, предназначенных для социальной реабилитации и интеграции инвалидов </w:t>
      </w:r>
      <w:r>
        <w:br/>
        <w:t>в общество, приобретаемых с использованием средств семейного капитала</w:t>
      </w:r>
    </w:p>
    <w:tbl>
      <w:tblPr>
        <w:tblW w:w="5000" w:type="pct"/>
        <w:tblCellMar>
          <w:left w:w="0" w:type="dxa"/>
          <w:right w:w="0" w:type="dxa"/>
        </w:tblCellMar>
        <w:tblLook w:val="04A0" w:firstRow="1" w:lastRow="0" w:firstColumn="1" w:lastColumn="0" w:noHBand="0" w:noVBand="1"/>
      </w:tblPr>
      <w:tblGrid>
        <w:gridCol w:w="5676"/>
        <w:gridCol w:w="3690"/>
      </w:tblGrid>
      <w:tr w:rsidR="005C1865">
        <w:trPr>
          <w:trHeight w:val="240"/>
        </w:trPr>
        <w:tc>
          <w:tcPr>
            <w:tcW w:w="30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C1865" w:rsidRDefault="005C1865">
            <w:pPr>
              <w:pStyle w:val="table10"/>
              <w:jc w:val="center"/>
            </w:pPr>
            <w:r>
              <w:t>Наименование товаров</w:t>
            </w:r>
          </w:p>
        </w:tc>
        <w:tc>
          <w:tcPr>
            <w:tcW w:w="19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C1865" w:rsidRDefault="005C1865">
            <w:pPr>
              <w:pStyle w:val="table10"/>
              <w:jc w:val="center"/>
            </w:pPr>
            <w:r>
              <w:t xml:space="preserve">Код государственного стандарта Республики Беларусь СТБ ISO 9999-2020 «Устройства </w:t>
            </w:r>
            <w:proofErr w:type="spellStart"/>
            <w:r>
              <w:t>ассистивные</w:t>
            </w:r>
            <w:proofErr w:type="spellEnd"/>
            <w:r>
              <w:t xml:space="preserve"> для людей с ограничениями жизнедеятельности. Классификация и терминология»</w:t>
            </w:r>
          </w:p>
        </w:tc>
      </w:tr>
      <w:tr w:rsidR="005C1865">
        <w:trPr>
          <w:trHeight w:val="240"/>
        </w:trPr>
        <w:tc>
          <w:tcPr>
            <w:tcW w:w="5000" w:type="pct"/>
            <w:gridSpan w:val="2"/>
            <w:tcBorders>
              <w:top w:val="single" w:sz="4" w:space="0" w:color="auto"/>
            </w:tcBorders>
            <w:tcMar>
              <w:top w:w="0" w:type="dxa"/>
              <w:left w:w="6" w:type="dxa"/>
              <w:bottom w:w="0" w:type="dxa"/>
              <w:right w:w="6" w:type="dxa"/>
            </w:tcMar>
            <w:hideMark/>
          </w:tcPr>
          <w:p w:rsidR="005C1865" w:rsidRDefault="005C1865">
            <w:pPr>
              <w:pStyle w:val="table10"/>
              <w:spacing w:before="120"/>
              <w:jc w:val="center"/>
            </w:pPr>
            <w:r>
              <w:t>Устройства вывода для компьютеров</w:t>
            </w:r>
          </w:p>
        </w:tc>
      </w:tr>
      <w:tr w:rsidR="005C1865">
        <w:trPr>
          <w:trHeight w:val="240"/>
        </w:trPr>
        <w:tc>
          <w:tcPr>
            <w:tcW w:w="3030" w:type="pct"/>
            <w:tcMar>
              <w:top w:w="0" w:type="dxa"/>
              <w:left w:w="6" w:type="dxa"/>
              <w:bottom w:w="0" w:type="dxa"/>
              <w:right w:w="6" w:type="dxa"/>
            </w:tcMar>
            <w:hideMark/>
          </w:tcPr>
          <w:p w:rsidR="005C1865" w:rsidRDefault="005C1865">
            <w:pPr>
              <w:pStyle w:val="table10"/>
              <w:spacing w:before="120"/>
            </w:pPr>
            <w:r>
              <w:t>1. Тактильные дисплеи компьютера (в том числе дисплеи Брайля, тактильные графические дисплеи)</w:t>
            </w:r>
          </w:p>
        </w:tc>
        <w:tc>
          <w:tcPr>
            <w:tcW w:w="1970" w:type="pct"/>
            <w:tcMar>
              <w:top w:w="0" w:type="dxa"/>
              <w:left w:w="6" w:type="dxa"/>
              <w:bottom w:w="0" w:type="dxa"/>
              <w:right w:w="6" w:type="dxa"/>
            </w:tcMar>
            <w:vAlign w:val="bottom"/>
            <w:hideMark/>
          </w:tcPr>
          <w:p w:rsidR="005C1865" w:rsidRDefault="005C1865">
            <w:pPr>
              <w:pStyle w:val="table10"/>
              <w:spacing w:before="120"/>
              <w:jc w:val="center"/>
            </w:pPr>
            <w:r>
              <w:t>22 39 05</w:t>
            </w:r>
          </w:p>
        </w:tc>
      </w:tr>
      <w:tr w:rsidR="005C1865">
        <w:trPr>
          <w:trHeight w:val="240"/>
        </w:trPr>
        <w:tc>
          <w:tcPr>
            <w:tcW w:w="3030" w:type="pct"/>
            <w:tcMar>
              <w:top w:w="0" w:type="dxa"/>
              <w:left w:w="6" w:type="dxa"/>
              <w:bottom w:w="0" w:type="dxa"/>
              <w:right w:w="6" w:type="dxa"/>
            </w:tcMar>
            <w:hideMark/>
          </w:tcPr>
          <w:p w:rsidR="005C1865" w:rsidRDefault="005C1865">
            <w:pPr>
              <w:pStyle w:val="table10"/>
              <w:spacing w:before="120"/>
            </w:pPr>
            <w:r>
              <w:t>2. Принтеры (графопостроители) Брайля</w:t>
            </w:r>
          </w:p>
        </w:tc>
        <w:tc>
          <w:tcPr>
            <w:tcW w:w="1970" w:type="pct"/>
            <w:tcMar>
              <w:top w:w="0" w:type="dxa"/>
              <w:left w:w="6" w:type="dxa"/>
              <w:bottom w:w="0" w:type="dxa"/>
              <w:right w:w="6" w:type="dxa"/>
            </w:tcMar>
            <w:vAlign w:val="bottom"/>
            <w:hideMark/>
          </w:tcPr>
          <w:p w:rsidR="005C1865" w:rsidRDefault="005C1865">
            <w:pPr>
              <w:pStyle w:val="table10"/>
              <w:spacing w:before="120"/>
              <w:jc w:val="center"/>
            </w:pPr>
            <w:r>
              <w:t>22 39 06</w:t>
            </w:r>
          </w:p>
        </w:tc>
      </w:tr>
      <w:tr w:rsidR="005C1865">
        <w:trPr>
          <w:trHeight w:val="240"/>
        </w:trPr>
        <w:tc>
          <w:tcPr>
            <w:tcW w:w="5000" w:type="pct"/>
            <w:gridSpan w:val="2"/>
            <w:tcMar>
              <w:top w:w="0" w:type="dxa"/>
              <w:left w:w="6" w:type="dxa"/>
              <w:bottom w:w="0" w:type="dxa"/>
              <w:right w:w="6" w:type="dxa"/>
            </w:tcMar>
            <w:hideMark/>
          </w:tcPr>
          <w:p w:rsidR="005C1865" w:rsidRDefault="005C1865">
            <w:pPr>
              <w:pStyle w:val="table10"/>
              <w:spacing w:before="120"/>
              <w:jc w:val="center"/>
            </w:pPr>
            <w:proofErr w:type="spellStart"/>
            <w:r>
              <w:t>Ассистивные</w:t>
            </w:r>
            <w:proofErr w:type="spellEnd"/>
            <w:r>
              <w:t xml:space="preserve"> устройства для подъема людей</w:t>
            </w:r>
          </w:p>
        </w:tc>
      </w:tr>
      <w:tr w:rsidR="005C1865">
        <w:trPr>
          <w:trHeight w:val="240"/>
        </w:trPr>
        <w:tc>
          <w:tcPr>
            <w:tcW w:w="3030" w:type="pct"/>
            <w:tcMar>
              <w:top w:w="0" w:type="dxa"/>
              <w:left w:w="6" w:type="dxa"/>
              <w:bottom w:w="0" w:type="dxa"/>
              <w:right w:w="6" w:type="dxa"/>
            </w:tcMar>
            <w:hideMark/>
          </w:tcPr>
          <w:p w:rsidR="005C1865" w:rsidRDefault="005C1865">
            <w:pPr>
              <w:pStyle w:val="table10"/>
              <w:spacing w:before="120"/>
            </w:pPr>
            <w:r>
              <w:t xml:space="preserve">3. </w:t>
            </w:r>
            <w:proofErr w:type="spellStart"/>
            <w:r>
              <w:t>Ассистивные</w:t>
            </w:r>
            <w:proofErr w:type="spellEnd"/>
            <w:r>
              <w:t xml:space="preserve"> устройства для подъема людей</w:t>
            </w:r>
          </w:p>
        </w:tc>
        <w:tc>
          <w:tcPr>
            <w:tcW w:w="1970" w:type="pct"/>
            <w:tcMar>
              <w:top w:w="0" w:type="dxa"/>
              <w:left w:w="6" w:type="dxa"/>
              <w:bottom w:w="0" w:type="dxa"/>
              <w:right w:w="6" w:type="dxa"/>
            </w:tcMar>
            <w:vAlign w:val="bottom"/>
            <w:hideMark/>
          </w:tcPr>
          <w:p w:rsidR="005C1865" w:rsidRDefault="005C1865">
            <w:pPr>
              <w:pStyle w:val="table10"/>
              <w:spacing w:before="120"/>
              <w:jc w:val="center"/>
            </w:pPr>
            <w:r>
              <w:t>12 36</w:t>
            </w:r>
          </w:p>
        </w:tc>
      </w:tr>
      <w:tr w:rsidR="005C1865">
        <w:trPr>
          <w:trHeight w:val="240"/>
        </w:trPr>
        <w:tc>
          <w:tcPr>
            <w:tcW w:w="5000" w:type="pct"/>
            <w:gridSpan w:val="2"/>
            <w:tcMar>
              <w:top w:w="0" w:type="dxa"/>
              <w:left w:w="6" w:type="dxa"/>
              <w:bottom w:w="0" w:type="dxa"/>
              <w:right w:w="6" w:type="dxa"/>
            </w:tcMar>
            <w:hideMark/>
          </w:tcPr>
          <w:p w:rsidR="005C1865" w:rsidRDefault="005C1865">
            <w:pPr>
              <w:pStyle w:val="table10"/>
              <w:spacing w:before="120"/>
              <w:jc w:val="center"/>
            </w:pPr>
            <w:r>
              <w:t>Кровати и оборудование для кроватей</w:t>
            </w:r>
          </w:p>
        </w:tc>
      </w:tr>
      <w:tr w:rsidR="005C1865">
        <w:trPr>
          <w:trHeight w:val="240"/>
        </w:trPr>
        <w:tc>
          <w:tcPr>
            <w:tcW w:w="3030" w:type="pct"/>
            <w:tcMar>
              <w:top w:w="0" w:type="dxa"/>
              <w:left w:w="6" w:type="dxa"/>
              <w:bottom w:w="0" w:type="dxa"/>
              <w:right w:w="6" w:type="dxa"/>
            </w:tcMar>
            <w:hideMark/>
          </w:tcPr>
          <w:p w:rsidR="005C1865" w:rsidRDefault="005C1865">
            <w:pPr>
              <w:pStyle w:val="table10"/>
              <w:spacing w:before="120"/>
            </w:pPr>
            <w:r>
              <w:t xml:space="preserve">4. Кровати и съемные основания под матрац (опорные платформы для матраца) без регулировки </w:t>
            </w:r>
          </w:p>
        </w:tc>
        <w:tc>
          <w:tcPr>
            <w:tcW w:w="1970" w:type="pct"/>
            <w:tcMar>
              <w:top w:w="0" w:type="dxa"/>
              <w:left w:w="6" w:type="dxa"/>
              <w:bottom w:w="0" w:type="dxa"/>
              <w:right w:w="6" w:type="dxa"/>
            </w:tcMar>
            <w:vAlign w:val="bottom"/>
            <w:hideMark/>
          </w:tcPr>
          <w:p w:rsidR="005C1865" w:rsidRDefault="005C1865">
            <w:pPr>
              <w:pStyle w:val="table10"/>
              <w:spacing w:before="120"/>
              <w:jc w:val="center"/>
            </w:pPr>
            <w:r>
              <w:t>18 12 04</w:t>
            </w:r>
          </w:p>
        </w:tc>
      </w:tr>
      <w:tr w:rsidR="005C1865">
        <w:trPr>
          <w:trHeight w:val="240"/>
        </w:trPr>
        <w:tc>
          <w:tcPr>
            <w:tcW w:w="3030" w:type="pct"/>
            <w:tcMar>
              <w:top w:w="0" w:type="dxa"/>
              <w:left w:w="6" w:type="dxa"/>
              <w:bottom w:w="0" w:type="dxa"/>
              <w:right w:w="6" w:type="dxa"/>
            </w:tcMar>
            <w:hideMark/>
          </w:tcPr>
          <w:p w:rsidR="005C1865" w:rsidRDefault="005C1865">
            <w:pPr>
              <w:pStyle w:val="table10"/>
              <w:spacing w:before="120"/>
            </w:pPr>
            <w:r>
              <w:t xml:space="preserve">5. Кровати и съемные основания под матрац (опорные платформы для матраца) с ручной регулировкой </w:t>
            </w:r>
          </w:p>
        </w:tc>
        <w:tc>
          <w:tcPr>
            <w:tcW w:w="1970" w:type="pct"/>
            <w:tcMar>
              <w:top w:w="0" w:type="dxa"/>
              <w:left w:w="6" w:type="dxa"/>
              <w:bottom w:w="0" w:type="dxa"/>
              <w:right w:w="6" w:type="dxa"/>
            </w:tcMar>
            <w:vAlign w:val="bottom"/>
            <w:hideMark/>
          </w:tcPr>
          <w:p w:rsidR="005C1865" w:rsidRDefault="005C1865">
            <w:pPr>
              <w:pStyle w:val="table10"/>
              <w:spacing w:before="120"/>
              <w:jc w:val="center"/>
            </w:pPr>
            <w:r>
              <w:t>18 12 07</w:t>
            </w:r>
          </w:p>
        </w:tc>
      </w:tr>
      <w:tr w:rsidR="005C1865">
        <w:trPr>
          <w:trHeight w:val="240"/>
        </w:trPr>
        <w:tc>
          <w:tcPr>
            <w:tcW w:w="3030" w:type="pct"/>
            <w:tcBorders>
              <w:bottom w:val="single" w:sz="4" w:space="0" w:color="auto"/>
            </w:tcBorders>
            <w:tcMar>
              <w:top w:w="0" w:type="dxa"/>
              <w:left w:w="6" w:type="dxa"/>
              <w:bottom w:w="0" w:type="dxa"/>
              <w:right w:w="6" w:type="dxa"/>
            </w:tcMar>
            <w:hideMark/>
          </w:tcPr>
          <w:p w:rsidR="005C1865" w:rsidRDefault="005C1865">
            <w:pPr>
              <w:pStyle w:val="table10"/>
              <w:spacing w:before="120"/>
            </w:pPr>
            <w:r>
              <w:t xml:space="preserve">6. Кровати и съемные основания под матрац (опорные платформы </w:t>
            </w:r>
            <w:bookmarkStart w:id="0" w:name="_GoBack"/>
            <w:bookmarkEnd w:id="0"/>
            <w:r>
              <w:t xml:space="preserve">для матраца) с механической регулировкой (регулируемые с помощью электрического механизма) </w:t>
            </w:r>
          </w:p>
        </w:tc>
        <w:tc>
          <w:tcPr>
            <w:tcW w:w="1970" w:type="pct"/>
            <w:tcBorders>
              <w:bottom w:val="single" w:sz="4" w:space="0" w:color="auto"/>
            </w:tcBorders>
            <w:tcMar>
              <w:top w:w="0" w:type="dxa"/>
              <w:left w:w="6" w:type="dxa"/>
              <w:bottom w:w="0" w:type="dxa"/>
              <w:right w:w="6" w:type="dxa"/>
            </w:tcMar>
            <w:vAlign w:val="bottom"/>
            <w:hideMark/>
          </w:tcPr>
          <w:p w:rsidR="005C1865" w:rsidRDefault="005C1865">
            <w:pPr>
              <w:pStyle w:val="table10"/>
              <w:spacing w:before="120"/>
              <w:jc w:val="center"/>
            </w:pPr>
            <w:r>
              <w:t>18 12 10</w:t>
            </w:r>
          </w:p>
        </w:tc>
      </w:tr>
    </w:tbl>
    <w:p w:rsidR="005C1865" w:rsidRDefault="005C1865">
      <w:pPr>
        <w:pStyle w:val="newncpi"/>
      </w:pPr>
      <w:r>
        <w:t> </w:t>
      </w:r>
    </w:p>
    <w:p w:rsidR="00E01F2C" w:rsidRDefault="00E01F2C"/>
    <w:sectPr w:rsidR="00E01F2C" w:rsidSect="005C1865">
      <w:headerReference w:type="even" r:id="rId7"/>
      <w:headerReference w:type="default" r:id="rId8"/>
      <w:pgSz w:w="11906" w:h="16838"/>
      <w:pgMar w:top="1134" w:right="1134" w:bottom="964" w:left="1418"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67" w:rsidRDefault="00C44E67" w:rsidP="005C1865">
      <w:pPr>
        <w:spacing w:after="0" w:line="240" w:lineRule="auto"/>
      </w:pPr>
      <w:r>
        <w:separator/>
      </w:r>
    </w:p>
  </w:endnote>
  <w:endnote w:type="continuationSeparator" w:id="0">
    <w:p w:rsidR="00C44E67" w:rsidRDefault="00C44E67" w:rsidP="005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67" w:rsidRDefault="00C44E67" w:rsidP="005C1865">
      <w:pPr>
        <w:spacing w:after="0" w:line="240" w:lineRule="auto"/>
      </w:pPr>
      <w:r>
        <w:separator/>
      </w:r>
    </w:p>
  </w:footnote>
  <w:footnote w:type="continuationSeparator" w:id="0">
    <w:p w:rsidR="00C44E67" w:rsidRDefault="00C44E67" w:rsidP="005C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65" w:rsidRDefault="005C1865" w:rsidP="0021246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1865" w:rsidRDefault="005C18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65" w:rsidRPr="005C1865" w:rsidRDefault="005C1865" w:rsidP="00212462">
    <w:pPr>
      <w:pStyle w:val="a3"/>
      <w:framePr w:wrap="around" w:vAnchor="text" w:hAnchor="margin" w:xAlign="center" w:y="1"/>
      <w:rPr>
        <w:rStyle w:val="a7"/>
        <w:rFonts w:ascii="Times New Roman" w:hAnsi="Times New Roman" w:cs="Times New Roman"/>
        <w:sz w:val="24"/>
      </w:rPr>
    </w:pPr>
    <w:r w:rsidRPr="005C1865">
      <w:rPr>
        <w:rStyle w:val="a7"/>
        <w:rFonts w:ascii="Times New Roman" w:hAnsi="Times New Roman" w:cs="Times New Roman"/>
        <w:sz w:val="24"/>
      </w:rPr>
      <w:fldChar w:fldCharType="begin"/>
    </w:r>
    <w:r w:rsidRPr="005C1865">
      <w:rPr>
        <w:rStyle w:val="a7"/>
        <w:rFonts w:ascii="Times New Roman" w:hAnsi="Times New Roman" w:cs="Times New Roman"/>
        <w:sz w:val="24"/>
      </w:rPr>
      <w:instrText xml:space="preserve">PAGE  </w:instrText>
    </w:r>
    <w:r w:rsidRPr="005C186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C1865">
      <w:rPr>
        <w:rStyle w:val="a7"/>
        <w:rFonts w:ascii="Times New Roman" w:hAnsi="Times New Roman" w:cs="Times New Roman"/>
        <w:sz w:val="24"/>
      </w:rPr>
      <w:fldChar w:fldCharType="end"/>
    </w:r>
  </w:p>
  <w:p w:rsidR="005C1865" w:rsidRPr="005C1865" w:rsidRDefault="005C1865">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5"/>
    <w:rsid w:val="005C1865"/>
    <w:rsid w:val="00C44E67"/>
    <w:rsid w:val="00E0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C18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C186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C18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C186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C18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18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18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18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C18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C18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C18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C18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C186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C18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18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18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18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C1865"/>
    <w:rPr>
      <w:rFonts w:ascii="Times New Roman" w:hAnsi="Times New Roman" w:cs="Times New Roman" w:hint="default"/>
      <w:caps/>
    </w:rPr>
  </w:style>
  <w:style w:type="character" w:customStyle="1" w:styleId="promulgator">
    <w:name w:val="promulgator"/>
    <w:basedOn w:val="a0"/>
    <w:rsid w:val="005C1865"/>
    <w:rPr>
      <w:rFonts w:ascii="Times New Roman" w:hAnsi="Times New Roman" w:cs="Times New Roman" w:hint="default"/>
      <w:caps/>
    </w:rPr>
  </w:style>
  <w:style w:type="character" w:customStyle="1" w:styleId="datepr">
    <w:name w:val="datepr"/>
    <w:basedOn w:val="a0"/>
    <w:rsid w:val="005C1865"/>
    <w:rPr>
      <w:rFonts w:ascii="Times New Roman" w:hAnsi="Times New Roman" w:cs="Times New Roman" w:hint="default"/>
    </w:rPr>
  </w:style>
  <w:style w:type="character" w:customStyle="1" w:styleId="number">
    <w:name w:val="number"/>
    <w:basedOn w:val="a0"/>
    <w:rsid w:val="005C1865"/>
    <w:rPr>
      <w:rFonts w:ascii="Times New Roman" w:hAnsi="Times New Roman" w:cs="Times New Roman" w:hint="default"/>
    </w:rPr>
  </w:style>
  <w:style w:type="character" w:customStyle="1" w:styleId="rednoun">
    <w:name w:val="rednoun"/>
    <w:basedOn w:val="a0"/>
    <w:rsid w:val="005C1865"/>
  </w:style>
  <w:style w:type="character" w:customStyle="1" w:styleId="post">
    <w:name w:val="post"/>
    <w:basedOn w:val="a0"/>
    <w:rsid w:val="005C1865"/>
    <w:rPr>
      <w:rFonts w:ascii="Times New Roman" w:hAnsi="Times New Roman" w:cs="Times New Roman" w:hint="default"/>
      <w:b/>
      <w:bCs/>
      <w:sz w:val="22"/>
      <w:szCs w:val="22"/>
    </w:rPr>
  </w:style>
  <w:style w:type="character" w:customStyle="1" w:styleId="pers">
    <w:name w:val="pers"/>
    <w:basedOn w:val="a0"/>
    <w:rsid w:val="005C1865"/>
    <w:rPr>
      <w:rFonts w:ascii="Times New Roman" w:hAnsi="Times New Roman" w:cs="Times New Roman" w:hint="default"/>
      <w:b/>
      <w:bCs/>
      <w:sz w:val="22"/>
      <w:szCs w:val="22"/>
    </w:rPr>
  </w:style>
  <w:style w:type="paragraph" w:styleId="a3">
    <w:name w:val="header"/>
    <w:basedOn w:val="a"/>
    <w:link w:val="a4"/>
    <w:uiPriority w:val="99"/>
    <w:unhideWhenUsed/>
    <w:rsid w:val="005C1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865"/>
  </w:style>
  <w:style w:type="paragraph" w:styleId="a5">
    <w:name w:val="footer"/>
    <w:basedOn w:val="a"/>
    <w:link w:val="a6"/>
    <w:uiPriority w:val="99"/>
    <w:unhideWhenUsed/>
    <w:rsid w:val="005C1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1865"/>
  </w:style>
  <w:style w:type="character" w:styleId="a7">
    <w:name w:val="page number"/>
    <w:basedOn w:val="a0"/>
    <w:uiPriority w:val="99"/>
    <w:semiHidden/>
    <w:unhideWhenUsed/>
    <w:rsid w:val="005C1865"/>
  </w:style>
  <w:style w:type="table" w:styleId="a8">
    <w:name w:val="Table Grid"/>
    <w:basedOn w:val="a1"/>
    <w:uiPriority w:val="59"/>
    <w:rsid w:val="005C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C18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C186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C18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C186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C18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18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18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18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C18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C18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C18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C18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C186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C18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18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18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18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C1865"/>
    <w:rPr>
      <w:rFonts w:ascii="Times New Roman" w:hAnsi="Times New Roman" w:cs="Times New Roman" w:hint="default"/>
      <w:caps/>
    </w:rPr>
  </w:style>
  <w:style w:type="character" w:customStyle="1" w:styleId="promulgator">
    <w:name w:val="promulgator"/>
    <w:basedOn w:val="a0"/>
    <w:rsid w:val="005C1865"/>
    <w:rPr>
      <w:rFonts w:ascii="Times New Roman" w:hAnsi="Times New Roman" w:cs="Times New Roman" w:hint="default"/>
      <w:caps/>
    </w:rPr>
  </w:style>
  <w:style w:type="character" w:customStyle="1" w:styleId="datepr">
    <w:name w:val="datepr"/>
    <w:basedOn w:val="a0"/>
    <w:rsid w:val="005C1865"/>
    <w:rPr>
      <w:rFonts w:ascii="Times New Roman" w:hAnsi="Times New Roman" w:cs="Times New Roman" w:hint="default"/>
    </w:rPr>
  </w:style>
  <w:style w:type="character" w:customStyle="1" w:styleId="number">
    <w:name w:val="number"/>
    <w:basedOn w:val="a0"/>
    <w:rsid w:val="005C1865"/>
    <w:rPr>
      <w:rFonts w:ascii="Times New Roman" w:hAnsi="Times New Roman" w:cs="Times New Roman" w:hint="default"/>
    </w:rPr>
  </w:style>
  <w:style w:type="character" w:customStyle="1" w:styleId="rednoun">
    <w:name w:val="rednoun"/>
    <w:basedOn w:val="a0"/>
    <w:rsid w:val="005C1865"/>
  </w:style>
  <w:style w:type="character" w:customStyle="1" w:styleId="post">
    <w:name w:val="post"/>
    <w:basedOn w:val="a0"/>
    <w:rsid w:val="005C1865"/>
    <w:rPr>
      <w:rFonts w:ascii="Times New Roman" w:hAnsi="Times New Roman" w:cs="Times New Roman" w:hint="default"/>
      <w:b/>
      <w:bCs/>
      <w:sz w:val="22"/>
      <w:szCs w:val="22"/>
    </w:rPr>
  </w:style>
  <w:style w:type="character" w:customStyle="1" w:styleId="pers">
    <w:name w:val="pers"/>
    <w:basedOn w:val="a0"/>
    <w:rsid w:val="005C1865"/>
    <w:rPr>
      <w:rFonts w:ascii="Times New Roman" w:hAnsi="Times New Roman" w:cs="Times New Roman" w:hint="default"/>
      <w:b/>
      <w:bCs/>
      <w:sz w:val="22"/>
      <w:szCs w:val="22"/>
    </w:rPr>
  </w:style>
  <w:style w:type="paragraph" w:styleId="a3">
    <w:name w:val="header"/>
    <w:basedOn w:val="a"/>
    <w:link w:val="a4"/>
    <w:uiPriority w:val="99"/>
    <w:unhideWhenUsed/>
    <w:rsid w:val="005C1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865"/>
  </w:style>
  <w:style w:type="paragraph" w:styleId="a5">
    <w:name w:val="footer"/>
    <w:basedOn w:val="a"/>
    <w:link w:val="a6"/>
    <w:uiPriority w:val="99"/>
    <w:unhideWhenUsed/>
    <w:rsid w:val="005C1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1865"/>
  </w:style>
  <w:style w:type="character" w:styleId="a7">
    <w:name w:val="page number"/>
    <w:basedOn w:val="a0"/>
    <w:uiPriority w:val="99"/>
    <w:semiHidden/>
    <w:unhideWhenUsed/>
    <w:rsid w:val="005C1865"/>
  </w:style>
  <w:style w:type="table" w:styleId="a8">
    <w:name w:val="Table Grid"/>
    <w:basedOn w:val="a1"/>
    <w:uiPriority w:val="59"/>
    <w:rsid w:val="005C1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2805</Words>
  <Characters>19328</Characters>
  <Application>Microsoft Office Word</Application>
  <DocSecurity>0</DocSecurity>
  <Lines>371</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123-OLGA</dc:creator>
  <cp:lastModifiedBy>123-OLGA</cp:lastModifiedBy>
  <cp:revision>1</cp:revision>
  <dcterms:created xsi:type="dcterms:W3CDTF">2022-01-03T06:38:00Z</dcterms:created>
  <dcterms:modified xsi:type="dcterms:W3CDTF">2022-01-03T06:41:00Z</dcterms:modified>
</cp:coreProperties>
</file>