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FB" w:rsidRPr="00BD733D" w:rsidRDefault="005160FB" w:rsidP="005160FB">
      <w:pPr>
        <w:spacing w:after="300" w:line="420" w:lineRule="atLeast"/>
        <w:jc w:val="center"/>
        <w:outlineLvl w:val="0"/>
        <w:rPr>
          <w:rFonts w:ascii="Unna" w:eastAsia="Times New Roman" w:hAnsi="Unna" w:cs="Times New Roman"/>
          <w:b/>
          <w:caps/>
          <w:color w:val="666666"/>
          <w:kern w:val="36"/>
          <w:sz w:val="33"/>
          <w:szCs w:val="33"/>
          <w:lang w:eastAsia="ru-RU"/>
        </w:rPr>
      </w:pPr>
      <w:r>
        <w:rPr>
          <w:rFonts w:ascii="Unna" w:eastAsia="Times New Roman" w:hAnsi="Unna" w:cs="Times New Roman"/>
          <w:b/>
          <w:caps/>
          <w:color w:val="666666"/>
          <w:kern w:val="36"/>
          <w:sz w:val="33"/>
          <w:szCs w:val="33"/>
          <w:lang w:eastAsia="ru-RU"/>
        </w:rPr>
        <w:t>об</w:t>
      </w:r>
      <w:r w:rsidRPr="00BD733D">
        <w:rPr>
          <w:rFonts w:ascii="Unna" w:eastAsia="Times New Roman" w:hAnsi="Unna" w:cs="Times New Roman"/>
          <w:b/>
          <w:caps/>
          <w:color w:val="666666"/>
          <w:kern w:val="36"/>
          <w:sz w:val="33"/>
          <w:szCs w:val="33"/>
          <w:lang w:eastAsia="ru-RU"/>
        </w:rPr>
        <w:t xml:space="preserve"> УКАЗ</w:t>
      </w:r>
      <w:r>
        <w:rPr>
          <w:rFonts w:ascii="Unna" w:eastAsia="Times New Roman" w:hAnsi="Unna" w:cs="Times New Roman"/>
          <w:b/>
          <w:caps/>
          <w:color w:val="666666"/>
          <w:kern w:val="36"/>
          <w:sz w:val="33"/>
          <w:szCs w:val="33"/>
          <w:lang w:eastAsia="ru-RU"/>
        </w:rPr>
        <w:t>е</w:t>
      </w:r>
      <w:r w:rsidRPr="00BD733D">
        <w:rPr>
          <w:rFonts w:ascii="Unna" w:eastAsia="Times New Roman" w:hAnsi="Unna" w:cs="Times New Roman"/>
          <w:b/>
          <w:caps/>
          <w:color w:val="666666"/>
          <w:kern w:val="36"/>
          <w:sz w:val="33"/>
          <w:szCs w:val="33"/>
          <w:lang w:eastAsia="ru-RU"/>
        </w:rPr>
        <w:t xml:space="preserve"> ПРЕЗИДЕНТА РЕСПУБЛИКИ БЕЛАРУСЬ ОТ 17 ЯНВАРЯ 2020 Г. № 15 «ОБ ИЗМЕНЕНИИ УКАЗОВ ПРЕЗИДЕНТА РЕСПУБЛИКИ БЕЛАРУСЬ»</w:t>
      </w:r>
    </w:p>
    <w:p w:rsidR="005160FB" w:rsidRPr="00BD733D" w:rsidRDefault="005160FB" w:rsidP="005160FB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BD733D"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>С 1 января 2009г.</w:t>
      </w: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 в </w:t>
      </w:r>
      <w:r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Р</w:t>
      </w: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еспублике</w:t>
      </w:r>
      <w:r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 </w:t>
      </w:r>
      <w:proofErr w:type="gramStart"/>
      <w:r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Беларусь </w:t>
      </w: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 </w:t>
      </w:r>
      <w:r w:rsidRPr="00BD733D"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>введена</w:t>
      </w:r>
      <w:proofErr w:type="gramEnd"/>
      <w:r w:rsidRPr="00BD733D"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 xml:space="preserve"> система профессионального пенсионного страхования работников, занятых в особых условиях труда</w:t>
      </w: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 </w:t>
      </w:r>
      <w:r w:rsidRPr="00BD733D">
        <w:rPr>
          <w:rFonts w:ascii="Unna" w:eastAsia="Times New Roman" w:hAnsi="Unna" w:cs="Times New Roman"/>
          <w:i/>
          <w:iCs/>
          <w:color w:val="DD0055"/>
          <w:sz w:val="28"/>
          <w:szCs w:val="28"/>
          <w:lang w:eastAsia="ru-RU"/>
        </w:rPr>
        <w:t>(Закон Республики Беларусь от 5 января 2008 г. «О профессиональном пенсионном страховании»).</w:t>
      </w:r>
    </w:p>
    <w:p w:rsidR="005160FB" w:rsidRPr="00BD733D" w:rsidRDefault="005160FB" w:rsidP="005160FB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 </w:t>
      </w:r>
    </w:p>
    <w:p w:rsidR="005160FB" w:rsidRDefault="005160FB" w:rsidP="005160FB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Эта система основана на принципе предварительного </w:t>
      </w:r>
      <w:r w:rsidRPr="00BD733D"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>накопления</w:t>
      </w: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 средств на </w:t>
      </w:r>
      <w:r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выплату профессиональных пенсий.</w:t>
      </w:r>
    </w:p>
    <w:p w:rsidR="005160FB" w:rsidRPr="00BD733D" w:rsidRDefault="005160FB" w:rsidP="005160FB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Таким работникам назначается </w:t>
      </w:r>
      <w:r w:rsidRPr="00BD733D"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>досрочная</w:t>
      </w: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 профессиональная пенсия </w:t>
      </w:r>
      <w:r w:rsidRPr="00BD733D"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>до достижения общеустановленного пенсионного возраста.</w:t>
      </w: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 </w:t>
      </w:r>
      <w:r w:rsidRPr="00BD733D"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>Размер</w:t>
      </w: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 досрочной пенс</w:t>
      </w:r>
      <w:bookmarkStart w:id="0" w:name="_GoBack"/>
      <w:bookmarkEnd w:id="0"/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ии исчисляется </w:t>
      </w:r>
      <w:r w:rsidRPr="00BD733D"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>исходя из объема целевых взносов, накопленных на индивидуальных счетах работников.</w:t>
      </w:r>
    </w:p>
    <w:p w:rsidR="005160FB" w:rsidRPr="00BD733D" w:rsidRDefault="005160FB" w:rsidP="005160FB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Досрочная пенсия по нормам Закона «О профессиональном пенсионном страховании» назначается при отработке работником </w:t>
      </w:r>
      <w:r w:rsidRPr="00BD733D"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>после 1 января 2009 г. более половины требуемого льготного стажа.</w:t>
      </w:r>
    </w:p>
    <w:p w:rsidR="005160FB" w:rsidRPr="00BD733D" w:rsidRDefault="005160FB" w:rsidP="005160FB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 </w:t>
      </w:r>
    </w:p>
    <w:p w:rsidR="005160FB" w:rsidRPr="005160FB" w:rsidRDefault="005160FB" w:rsidP="005160FB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b/>
          <w:color w:val="2B2B2B"/>
          <w:sz w:val="28"/>
          <w:szCs w:val="28"/>
          <w:lang w:eastAsia="ru-RU"/>
        </w:rPr>
      </w:pPr>
      <w:r w:rsidRPr="005160FB">
        <w:rPr>
          <w:rFonts w:ascii="Unna" w:eastAsia="Times New Roman" w:hAnsi="Unna" w:cs="Times New Roman"/>
          <w:bCs/>
          <w:color w:val="2B2B2B"/>
          <w:sz w:val="28"/>
          <w:szCs w:val="28"/>
          <w:lang w:eastAsia="ru-RU"/>
        </w:rPr>
        <w:t xml:space="preserve">С принятием </w:t>
      </w:r>
      <w:r w:rsidRPr="005160FB"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>Указ</w:t>
      </w:r>
      <w:r w:rsidRPr="005160FB"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>а</w:t>
      </w:r>
      <w:r w:rsidRPr="005160FB"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 xml:space="preserve"> Президента Республики Беларусь от 17 января 2020 г. № 15 «Об изменении указов Президента Республики Беларусь»</w:t>
      </w:r>
      <w:r>
        <w:rPr>
          <w:rFonts w:ascii="Unna" w:eastAsia="Times New Roman" w:hAnsi="Unna" w:cs="Times New Roman"/>
          <w:b/>
          <w:color w:val="2B2B2B"/>
          <w:sz w:val="28"/>
          <w:szCs w:val="28"/>
          <w:lang w:eastAsia="ru-RU"/>
        </w:rPr>
        <w:t xml:space="preserve"> </w:t>
      </w:r>
      <w:r w:rsidRPr="00BD733D"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>работникам</w:t>
      </w: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 с длительным стажем работы в особых условиях труда, </w:t>
      </w:r>
      <w:r w:rsidRPr="00BD733D"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>выработавшим </w:t>
      </w:r>
      <w:r w:rsidRPr="00BD733D">
        <w:rPr>
          <w:rFonts w:ascii="Unna" w:eastAsia="Times New Roman" w:hAnsi="Unna" w:cs="Times New Roman"/>
          <w:b/>
          <w:bCs/>
          <w:color w:val="2B2B2B"/>
          <w:sz w:val="28"/>
          <w:szCs w:val="28"/>
          <w:u w:val="single"/>
          <w:lang w:eastAsia="ru-RU"/>
        </w:rPr>
        <w:t>до 1 января 2009 г.</w:t>
      </w: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 </w:t>
      </w:r>
      <w:r w:rsidRPr="00BD733D">
        <w:rPr>
          <w:rFonts w:ascii="Unna" w:eastAsia="Times New Roman" w:hAnsi="Unna" w:cs="Times New Roman"/>
          <w:b/>
          <w:bCs/>
          <w:color w:val="2B2B2B"/>
          <w:sz w:val="28"/>
          <w:szCs w:val="28"/>
          <w:u w:val="single"/>
          <w:lang w:eastAsia="ru-RU"/>
        </w:rPr>
        <w:t>не менее половины требуемого полного льготного стажа</w:t>
      </w: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, предоставляется право на назначение досрочной пенсии</w:t>
      </w:r>
      <w:r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 согласно</w:t>
      </w:r>
      <w:r w:rsidRPr="00BD733D"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 xml:space="preserve"> Закону Республики Беларусь «О пенсионном обеспечении»</w:t>
      </w: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 (по статьям 12, 13, 15 или по статьям 47-49, 49-2 соответственно).</w:t>
      </w:r>
    </w:p>
    <w:p w:rsidR="005160FB" w:rsidRPr="00BD733D" w:rsidRDefault="005160FB" w:rsidP="005160FB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Указанная пенсия назначается из средств общей пенсионной системы (подпункт 1.1. Указа).</w:t>
      </w:r>
    </w:p>
    <w:p w:rsidR="005160FB" w:rsidRPr="00BD733D" w:rsidRDefault="005160FB" w:rsidP="005160FB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Следовательно</w:t>
      </w: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, лица, отработавшие до 1 января 2009 г. не менее половины требуемого льготного стажа, будут иметь право на назначение досрочной льготной пенсии в общей пенсионной системе взамен досрочной профессиональной пенсии в системе профессионального пенсионного страхования.</w:t>
      </w:r>
    </w:p>
    <w:p w:rsidR="005160FB" w:rsidRPr="00BD733D" w:rsidRDefault="005160FB" w:rsidP="005160FB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Норма, содержащаяся в подпункте 1.1 Указа, </w:t>
      </w:r>
      <w:proofErr w:type="gramStart"/>
      <w:r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 xml:space="preserve">вступила </w:t>
      </w:r>
      <w:r w:rsidRPr="00BD733D"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 xml:space="preserve"> в</w:t>
      </w:r>
      <w:proofErr w:type="gramEnd"/>
      <w:r w:rsidRPr="00BD733D"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 xml:space="preserve"> силу с 1 января 2020 г.</w:t>
      </w:r>
    </w:p>
    <w:p w:rsidR="005160FB" w:rsidRDefault="005160FB" w:rsidP="005160FB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</w:pPr>
    </w:p>
    <w:p w:rsidR="005160FB" w:rsidRPr="00BD733D" w:rsidRDefault="005160FB" w:rsidP="005160FB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BD733D"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>Указ расширяет переходный период, но не приводит к приостановлению действия системы профессионального пенсионного страхования.</w:t>
      </w:r>
    </w:p>
    <w:p w:rsidR="005160FB" w:rsidRDefault="005160FB" w:rsidP="005160FB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Р</w:t>
      </w: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аботникам, занятым на работах с особыми условиями труда или отдельными видами профессиональной деятельности, которые до </w:t>
      </w:r>
      <w:r w:rsidRPr="00BD733D">
        <w:rPr>
          <w:rFonts w:ascii="Unna" w:eastAsia="Times New Roman" w:hAnsi="Unna" w:cs="Times New Roman"/>
          <w:b/>
          <w:bCs/>
          <w:color w:val="2B2B2B"/>
          <w:sz w:val="28"/>
          <w:szCs w:val="28"/>
          <w:u w:val="single"/>
          <w:lang w:eastAsia="ru-RU"/>
        </w:rPr>
        <w:t xml:space="preserve">1 января </w:t>
      </w:r>
      <w:r w:rsidRPr="00BD733D">
        <w:rPr>
          <w:rFonts w:ascii="Unna" w:eastAsia="Times New Roman" w:hAnsi="Unna" w:cs="Times New Roman"/>
          <w:b/>
          <w:bCs/>
          <w:color w:val="2B2B2B"/>
          <w:sz w:val="28"/>
          <w:szCs w:val="28"/>
          <w:u w:val="single"/>
          <w:lang w:eastAsia="ru-RU"/>
        </w:rPr>
        <w:lastRenderedPageBreak/>
        <w:t>2009 г.</w:t>
      </w: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 </w:t>
      </w:r>
      <w:r w:rsidRPr="00BD733D"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>отработали </w:t>
      </w:r>
      <w:r w:rsidRPr="00BD733D">
        <w:rPr>
          <w:rFonts w:ascii="Unna" w:eastAsia="Times New Roman" w:hAnsi="Unna" w:cs="Times New Roman"/>
          <w:b/>
          <w:bCs/>
          <w:color w:val="2B2B2B"/>
          <w:sz w:val="28"/>
          <w:szCs w:val="28"/>
          <w:u w:val="single"/>
          <w:lang w:eastAsia="ru-RU"/>
        </w:rPr>
        <w:t>менее половины</w:t>
      </w:r>
      <w:r w:rsidRPr="00BD733D"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> льготного стажа</w:t>
      </w: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 либо </w:t>
      </w:r>
      <w:r w:rsidRPr="00BD733D"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>его не имели до указанной даты,</w:t>
      </w: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 предоставляется право:</w:t>
      </w:r>
    </w:p>
    <w:p w:rsidR="005160FB" w:rsidRPr="00BD733D" w:rsidRDefault="005160FB" w:rsidP="005160FB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</w:p>
    <w:p w:rsidR="005160FB" w:rsidRPr="005160FB" w:rsidRDefault="005160FB" w:rsidP="005160FB">
      <w:pPr>
        <w:pStyle w:val="a3"/>
        <w:numPr>
          <w:ilvl w:val="0"/>
          <w:numId w:val="1"/>
        </w:numPr>
        <w:spacing w:before="24" w:after="24" w:line="240" w:lineRule="auto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5160FB"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>формирования досрочной профессиональной пенсии.</w:t>
      </w:r>
    </w:p>
    <w:p w:rsidR="005160FB" w:rsidRDefault="005160FB" w:rsidP="005160FB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В таком случае работодатель уплачива</w:t>
      </w:r>
      <w:r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ет</w:t>
      </w: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 за этого работника обязательные взносы на профессиональное пенсионное страхование в бюджет государственного внебюджетного фонда социальной защиты населения (ФСЗН);</w:t>
      </w:r>
    </w:p>
    <w:p w:rsidR="005160FB" w:rsidRPr="00BD733D" w:rsidRDefault="005160FB" w:rsidP="005160FB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</w:p>
    <w:p w:rsidR="005160FB" w:rsidRDefault="005160FB" w:rsidP="005160FB">
      <w:pPr>
        <w:pStyle w:val="a3"/>
        <w:numPr>
          <w:ilvl w:val="0"/>
          <w:numId w:val="1"/>
        </w:numPr>
        <w:spacing w:before="24" w:after="24" w:line="240" w:lineRule="auto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5160FB"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>выбора вместо досрочной профессиональной пенсии дополнительной профессиональной пенсии.</w:t>
      </w:r>
      <w:r w:rsidRPr="005160FB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 </w:t>
      </w:r>
    </w:p>
    <w:p w:rsidR="005160FB" w:rsidRDefault="005160FB" w:rsidP="005160FB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Дополнительная профессиональная пенсия будет назначаться по достижении общеустановленного пенсионного возраста (в размере БПМ) за счет сформированных пенсионных сбережений дополнительно к пенсии по возрасту;</w:t>
      </w:r>
    </w:p>
    <w:p w:rsidR="005160FB" w:rsidRPr="00BD733D" w:rsidRDefault="005160FB" w:rsidP="005160FB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</w:p>
    <w:p w:rsidR="005160FB" w:rsidRPr="005160FB" w:rsidRDefault="005160FB" w:rsidP="005160FB">
      <w:pPr>
        <w:pStyle w:val="a3"/>
        <w:numPr>
          <w:ilvl w:val="0"/>
          <w:numId w:val="1"/>
        </w:numPr>
        <w:spacing w:before="24" w:after="24" w:line="240" w:lineRule="auto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 w:rsidRPr="005160FB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 </w:t>
      </w:r>
      <w:r w:rsidRPr="005160FB">
        <w:rPr>
          <w:rFonts w:ascii="Unna" w:eastAsia="Times New Roman" w:hAnsi="Unna" w:cs="Times New Roman"/>
          <w:b/>
          <w:bCs/>
          <w:color w:val="2B2B2B"/>
          <w:sz w:val="28"/>
          <w:szCs w:val="28"/>
          <w:lang w:eastAsia="ru-RU"/>
        </w:rPr>
        <w:t>получения ежемесячной доплаты к заработной плате вместо указанного страхования.</w:t>
      </w:r>
      <w:r w:rsidRPr="005160FB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 </w:t>
      </w:r>
    </w:p>
    <w:p w:rsidR="005160FB" w:rsidRDefault="005160FB" w:rsidP="005160FB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</w:p>
    <w:p w:rsidR="005160FB" w:rsidRPr="00BD733D" w:rsidRDefault="005160FB" w:rsidP="005160FB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</w:pPr>
      <w:r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Р</w:t>
      </w: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азмер определяется работодателем, но не может быть менее суммы взноса на профессиональное пенсионное страхование за этого работника. То есть взносы вместо уплаты в бюджет фонда на цели профессионального пенсионного страхования </w:t>
      </w:r>
      <w:r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>могут быть выплачены</w:t>
      </w:r>
      <w:r w:rsidRPr="00BD733D">
        <w:rPr>
          <w:rFonts w:ascii="Unna" w:eastAsia="Times New Roman" w:hAnsi="Unna" w:cs="Times New Roman"/>
          <w:color w:val="2B2B2B"/>
          <w:sz w:val="28"/>
          <w:szCs w:val="28"/>
          <w:lang w:eastAsia="ru-RU"/>
        </w:rPr>
        <w:t xml:space="preserve"> самому работнику к заработной плате.</w:t>
      </w:r>
    </w:p>
    <w:p w:rsidR="003A6382" w:rsidRDefault="005160FB"/>
    <w:sectPr w:rsidR="003A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23C9"/>
    <w:multiLevelType w:val="hybridMultilevel"/>
    <w:tmpl w:val="204C5D0C"/>
    <w:lvl w:ilvl="0" w:tplc="E966990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1D"/>
    <w:rsid w:val="001D1A52"/>
    <w:rsid w:val="00481F3D"/>
    <w:rsid w:val="005160FB"/>
    <w:rsid w:val="00F4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CE647-9765-4868-8088-B21EE19C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2023-08-06T13:41:00Z</dcterms:created>
  <dcterms:modified xsi:type="dcterms:W3CDTF">2023-08-06T13:54:00Z</dcterms:modified>
</cp:coreProperties>
</file>