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4A0828" w:rsidRDefault="00762194" w:rsidP="007B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</w:t>
            </w:r>
            <w:r w:rsidR="00305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</w:t>
            </w:r>
            <w:proofErr w:type="spellEnd"/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районного бюджета за январь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C0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5513E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E161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0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="00DE161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20 375,6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EA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23 809,2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6C0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3 433,6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="00E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6C0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январь-</w:t>
            </w:r>
            <w:r w:rsidR="006C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C0DE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12 659,0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C0DE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C0DE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DE3D1A" w:rsidRPr="00DE1614" w:rsidTr="00C91A7B">
        <w:trPr>
          <w:trHeight w:val="3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5160B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E3D1A" w:rsidRPr="00DE1614" w:rsidTr="00C91A7B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5160B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20 375,6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DE1614" w:rsidRDefault="00D5160B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D5160B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январе-</w:t>
            </w:r>
            <w:r w:rsidR="00D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 2019г.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39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  <w:r w:rsidR="00B4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B4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04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5160B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12 659,0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5160B" w:rsidRDefault="00D5160B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11 534,5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E46F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</w:t>
            </w:r>
            <w:r w:rsidR="0039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5160B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5 795,1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5160B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-212,9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7924AC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1 828,1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2 205,8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8A7122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91DA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5160B" w:rsidRDefault="00D5160B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1 124,5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E46F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39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Pr="00C15BAA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BF44BF" w:rsidRPr="00391DAE" w:rsidTr="00C91A7B">
        <w:trPr>
          <w:trHeight w:val="768"/>
        </w:trPr>
        <w:tc>
          <w:tcPr>
            <w:tcW w:w="4678" w:type="dxa"/>
            <w:vAlign w:val="center"/>
            <w:hideMark/>
          </w:tcPr>
          <w:p w:rsidR="00BF44BF" w:rsidRPr="00391DAE" w:rsidRDefault="00BF44BF" w:rsidP="00C91A7B">
            <w:pPr>
              <w:ind w:left="284"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BF44BF" w:rsidRPr="00391DAE" w:rsidRDefault="00BF44BF" w:rsidP="00391DA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91DAE" w:rsidRPr="00391DA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391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410" w:type="dxa"/>
            <w:hideMark/>
          </w:tcPr>
          <w:p w:rsidR="00BF44BF" w:rsidRPr="00391DAE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C15BAA" w:rsidTr="00C91A7B">
        <w:trPr>
          <w:trHeight w:val="750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693" w:type="dxa"/>
            <w:hideMark/>
          </w:tcPr>
          <w:p w:rsidR="00BF44BF" w:rsidRPr="00C15BAA" w:rsidRDefault="00C15BAA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23 809,2</w:t>
            </w:r>
          </w:p>
        </w:tc>
        <w:tc>
          <w:tcPr>
            <w:tcW w:w="2410" w:type="dxa"/>
            <w:hideMark/>
          </w:tcPr>
          <w:p w:rsidR="00BF44BF" w:rsidRPr="00C15BAA" w:rsidRDefault="00BF44BF" w:rsidP="00391DAE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F44BF" w:rsidRPr="00C15BAA" w:rsidTr="00C91A7B">
        <w:trPr>
          <w:trHeight w:val="276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241D27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 832,0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C15BAA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F44BF" w:rsidRPr="00C15BAA" w:rsidTr="00C91A7B">
        <w:trPr>
          <w:trHeight w:val="259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241D27" w:rsidP="00391DAE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241D27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4BF" w:rsidRPr="00C15BAA" w:rsidTr="00C91A7B">
        <w:trPr>
          <w:trHeight w:val="499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C15BAA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1 608,3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C15BAA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F44BF" w:rsidRPr="00C15BAA" w:rsidTr="00C91A7B">
        <w:trPr>
          <w:trHeight w:val="261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C15BAA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7 549,5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1C1C65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4BF" w:rsidRPr="00C15BAA" w:rsidTr="00C91A7B">
        <w:trPr>
          <w:trHeight w:val="475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BF44BF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 477,2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1C1C65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4BF" w:rsidRPr="00C15BAA" w:rsidTr="00C91A7B">
        <w:trPr>
          <w:trHeight w:val="235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C15BAA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10 108,4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BF44BF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F44BF" w:rsidRPr="00C15BAA" w:rsidTr="00C91A7B">
        <w:trPr>
          <w:trHeight w:val="239"/>
        </w:trPr>
        <w:tc>
          <w:tcPr>
            <w:tcW w:w="4678" w:type="dxa"/>
            <w:hideMark/>
          </w:tcPr>
          <w:p w:rsidR="00BF44BF" w:rsidRPr="00C15BAA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noWrap/>
            <w:hideMark/>
          </w:tcPr>
          <w:p w:rsidR="00BF44BF" w:rsidRPr="00C15BAA" w:rsidRDefault="00C15BAA" w:rsidP="00C15BA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2410" w:type="dxa"/>
            <w:noWrap/>
            <w:hideMark/>
          </w:tcPr>
          <w:p w:rsidR="00BF44BF" w:rsidRPr="00C15BAA" w:rsidRDefault="00BF44BF" w:rsidP="00C15BAA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1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44BF" w:rsidRPr="00C15BAA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BF44BF" w:rsidRPr="007B35BF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BAA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C15BA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15BAA">
        <w:rPr>
          <w:rFonts w:ascii="Times New Roman" w:hAnsi="Times New Roman" w:cs="Times New Roman"/>
          <w:sz w:val="24"/>
          <w:szCs w:val="24"/>
        </w:rPr>
        <w:t xml:space="preserve">бюджета направлено </w:t>
      </w:r>
      <w:r w:rsidR="00D31A61" w:rsidRPr="00C15BAA">
        <w:rPr>
          <w:rFonts w:ascii="Times New Roman" w:hAnsi="Times New Roman" w:cs="Times New Roman"/>
          <w:sz w:val="24"/>
          <w:szCs w:val="24"/>
        </w:rPr>
        <w:t>1</w:t>
      </w:r>
      <w:r w:rsidR="008C4A02" w:rsidRPr="00C15BAA">
        <w:rPr>
          <w:rFonts w:ascii="Times New Roman" w:hAnsi="Times New Roman" w:cs="Times New Roman"/>
          <w:sz w:val="24"/>
          <w:szCs w:val="24"/>
        </w:rPr>
        <w:t>3 957,8</w:t>
      </w:r>
      <w:r w:rsidRPr="00C15BA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B35B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B35BF">
        <w:rPr>
          <w:rFonts w:ascii="Times New Roman" w:hAnsi="Times New Roman" w:cs="Times New Roman"/>
          <w:sz w:val="24"/>
          <w:szCs w:val="24"/>
        </w:rPr>
        <w:t>77,6</w:t>
      </w:r>
      <w:r w:rsidRPr="007B35BF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391DAE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391DAE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391DAE" w:rsidRDefault="00BF44BF" w:rsidP="00391DA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91DAE"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6527E" w:rsidRPr="00391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C91A7B" w:rsidRPr="00391DA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391DAE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391DAE" w:rsidTr="00E5513E">
        <w:trPr>
          <w:trHeight w:val="209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CE6E1A" w:rsidRDefault="00BF44BF" w:rsidP="00CE6E1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E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23 809,2</w:t>
            </w:r>
          </w:p>
        </w:tc>
        <w:tc>
          <w:tcPr>
            <w:tcW w:w="2268" w:type="dxa"/>
            <w:hideMark/>
          </w:tcPr>
          <w:p w:rsidR="00BF44BF" w:rsidRPr="00CE6E1A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391DAE" w:rsidTr="00E5513E">
        <w:trPr>
          <w:trHeight w:val="257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CE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7B35BF" w:rsidRDefault="007B35BF" w:rsidP="007B35B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18 476,6</w:t>
            </w:r>
          </w:p>
        </w:tc>
        <w:tc>
          <w:tcPr>
            <w:tcW w:w="2268" w:type="dxa"/>
            <w:hideMark/>
          </w:tcPr>
          <w:p w:rsidR="00BF44BF" w:rsidRPr="007B35BF" w:rsidRDefault="007B35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BF44BF" w:rsidRPr="00391DAE" w:rsidTr="00E5513E">
        <w:trPr>
          <w:trHeight w:val="305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CE6E1A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CE6E1A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CE6E1A" w:rsidRDefault="00BF44BF" w:rsidP="00CE6E1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12 125,9</w:t>
            </w:r>
          </w:p>
        </w:tc>
        <w:tc>
          <w:tcPr>
            <w:tcW w:w="2268" w:type="dxa"/>
            <w:hideMark/>
          </w:tcPr>
          <w:p w:rsidR="00BF44BF" w:rsidRPr="00CE6E1A" w:rsidRDefault="00CE6E1A" w:rsidP="00CE6E1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CE6E1A" w:rsidRDefault="00BF44BF" w:rsidP="00CE6E1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2268" w:type="dxa"/>
            <w:hideMark/>
          </w:tcPr>
          <w:p w:rsidR="00BF44BF" w:rsidRPr="00CE6E1A" w:rsidRDefault="00BF5855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F44BF" w:rsidRPr="00391DAE" w:rsidTr="00E5513E">
        <w:trPr>
          <w:trHeight w:val="227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CE6E1A" w:rsidRDefault="00BF44BF" w:rsidP="00CE6E1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2268" w:type="dxa"/>
            <w:hideMark/>
          </w:tcPr>
          <w:p w:rsidR="00BF44BF" w:rsidRPr="00CE6E1A" w:rsidRDefault="00BF44BF" w:rsidP="00CE6E1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4BF" w:rsidRPr="00391DAE" w:rsidTr="00E5513E">
        <w:trPr>
          <w:trHeight w:val="261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CE6E1A" w:rsidRDefault="00BF44BF" w:rsidP="00CE6E1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3 194,4</w:t>
            </w:r>
          </w:p>
        </w:tc>
        <w:tc>
          <w:tcPr>
            <w:tcW w:w="2268" w:type="dxa"/>
            <w:hideMark/>
          </w:tcPr>
          <w:p w:rsidR="00BF44BF" w:rsidRPr="00CE6E1A" w:rsidRDefault="00682325" w:rsidP="0068232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BF44BF" w:rsidRPr="00391DAE" w:rsidTr="00E5513E">
        <w:trPr>
          <w:trHeight w:val="215"/>
        </w:trPr>
        <w:tc>
          <w:tcPr>
            <w:tcW w:w="5245" w:type="dxa"/>
            <w:hideMark/>
          </w:tcPr>
          <w:p w:rsidR="00BF44BF" w:rsidRPr="00CE6E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CE6E1A" w:rsidRDefault="00BF44BF" w:rsidP="0068232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2268" w:type="dxa"/>
            <w:hideMark/>
          </w:tcPr>
          <w:p w:rsidR="00BF44BF" w:rsidRPr="00CE6E1A" w:rsidRDefault="000232C0" w:rsidP="0068232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4BF" w:rsidRPr="008F2A58" w:rsidTr="008F2A58">
        <w:trPr>
          <w:trHeight w:val="219"/>
        </w:trPr>
        <w:tc>
          <w:tcPr>
            <w:tcW w:w="5245" w:type="dxa"/>
            <w:hideMark/>
          </w:tcPr>
          <w:p w:rsidR="00BF44BF" w:rsidRPr="008F2A58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8F2A58" w:rsidRDefault="00BF44BF" w:rsidP="008F2A58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2A58"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421F0E"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2A58"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BF44BF" w:rsidRPr="008F2A58" w:rsidRDefault="008F2A58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BF44BF" w:rsidRPr="008F2A58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BF44BF" w:rsidRPr="00BB691A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A58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8146EF" w:rsidRPr="008F2A58">
        <w:rPr>
          <w:rFonts w:ascii="Times New Roman" w:hAnsi="Times New Roman" w:cs="Times New Roman"/>
          <w:sz w:val="24"/>
          <w:szCs w:val="24"/>
        </w:rPr>
        <w:t>1</w:t>
      </w:r>
      <w:r w:rsidR="00BB691A" w:rsidRPr="008F2A58">
        <w:rPr>
          <w:rFonts w:ascii="Times New Roman" w:hAnsi="Times New Roman" w:cs="Times New Roman"/>
          <w:sz w:val="24"/>
          <w:szCs w:val="24"/>
        </w:rPr>
        <w:t>8 901,6</w:t>
      </w:r>
      <w:r w:rsidRPr="008F2A5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B691A" w:rsidRPr="008F2A58">
        <w:rPr>
          <w:rFonts w:ascii="Times New Roman" w:hAnsi="Times New Roman" w:cs="Times New Roman"/>
          <w:sz w:val="24"/>
          <w:szCs w:val="24"/>
        </w:rPr>
        <w:t>79,4</w:t>
      </w:r>
      <w:r w:rsidRPr="008F2A58">
        <w:rPr>
          <w:rFonts w:ascii="Times New Roman" w:hAnsi="Times New Roman" w:cs="Times New Roman"/>
          <w:sz w:val="24"/>
          <w:szCs w:val="24"/>
        </w:rPr>
        <w:t xml:space="preserve"> % в общем</w:t>
      </w:r>
      <w:r w:rsidRPr="00BB691A">
        <w:rPr>
          <w:rFonts w:ascii="Times New Roman" w:hAnsi="Times New Roman" w:cs="Times New Roman"/>
          <w:sz w:val="24"/>
          <w:szCs w:val="24"/>
        </w:rPr>
        <w:t xml:space="preserve"> объеме расходов </w:t>
      </w:r>
      <w:r w:rsidR="005C0257" w:rsidRPr="00BB69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B691A">
        <w:rPr>
          <w:rFonts w:ascii="Times New Roman" w:hAnsi="Times New Roman" w:cs="Times New Roman"/>
          <w:sz w:val="24"/>
          <w:szCs w:val="24"/>
        </w:rPr>
        <w:t>бюджета</w:t>
      </w:r>
      <w:r w:rsidR="00ED0355">
        <w:rPr>
          <w:rFonts w:ascii="Times New Roman" w:hAnsi="Times New Roman" w:cs="Times New Roman"/>
          <w:sz w:val="24"/>
          <w:szCs w:val="24"/>
        </w:rPr>
        <w:t>.</w:t>
      </w:r>
      <w:r w:rsidRPr="00BB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391DAE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391DAE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391DAE" w:rsidRDefault="00BF44BF" w:rsidP="00391DA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91DAE" w:rsidRPr="00391DA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391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C91A7B" w:rsidRPr="00391DA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391DAE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BB691A" w:rsidTr="00E5513E">
        <w:trPr>
          <w:trHeight w:val="209"/>
        </w:trPr>
        <w:tc>
          <w:tcPr>
            <w:tcW w:w="5245" w:type="dxa"/>
            <w:hideMark/>
          </w:tcPr>
          <w:p w:rsidR="00BF44BF" w:rsidRPr="00BB691A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BB691A" w:rsidRDefault="00BF44BF" w:rsidP="00BB691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23 809,2</w:t>
            </w:r>
          </w:p>
        </w:tc>
        <w:tc>
          <w:tcPr>
            <w:tcW w:w="2268" w:type="dxa"/>
            <w:hideMark/>
          </w:tcPr>
          <w:p w:rsidR="00BF44BF" w:rsidRPr="00BB691A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BB691A" w:rsidTr="00E5513E">
        <w:trPr>
          <w:trHeight w:val="257"/>
        </w:trPr>
        <w:tc>
          <w:tcPr>
            <w:tcW w:w="5245" w:type="dxa"/>
          </w:tcPr>
          <w:p w:rsidR="00BF44BF" w:rsidRPr="00BB691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BB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BB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BB691A" w:rsidRDefault="008146EF" w:rsidP="00BB691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B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8 901,6</w:t>
            </w:r>
          </w:p>
        </w:tc>
        <w:tc>
          <w:tcPr>
            <w:tcW w:w="2268" w:type="dxa"/>
          </w:tcPr>
          <w:p w:rsidR="00BF44BF" w:rsidRPr="00BB691A" w:rsidRDefault="00BB691A" w:rsidP="00BB691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BF44BF" w:rsidRPr="00BB691A" w:rsidTr="00E5513E">
        <w:trPr>
          <w:trHeight w:val="262"/>
        </w:trPr>
        <w:tc>
          <w:tcPr>
            <w:tcW w:w="5245" w:type="dxa"/>
          </w:tcPr>
          <w:p w:rsidR="00BF44BF" w:rsidRPr="00BB691A" w:rsidRDefault="00BF44BF" w:rsidP="00E5513E">
            <w:pPr>
              <w:rPr>
                <w:sz w:val="20"/>
                <w:szCs w:val="20"/>
              </w:rPr>
            </w:pPr>
            <w:r w:rsidRPr="00BB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BB691A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BB691A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BB691A" w:rsidTr="00E5513E">
        <w:trPr>
          <w:trHeight w:val="305"/>
        </w:trPr>
        <w:tc>
          <w:tcPr>
            <w:tcW w:w="5245" w:type="dxa"/>
          </w:tcPr>
          <w:p w:rsidR="00BF44BF" w:rsidRPr="00BB691A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1A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BB691A" w:rsidRDefault="00140802" w:rsidP="0014080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4 579,0</w:t>
            </w:r>
          </w:p>
        </w:tc>
        <w:tc>
          <w:tcPr>
            <w:tcW w:w="2268" w:type="dxa"/>
          </w:tcPr>
          <w:p w:rsidR="00BF44BF" w:rsidRPr="00BB691A" w:rsidRDefault="00140802" w:rsidP="00140802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BF44BF" w:rsidRPr="00BB691A" w:rsidTr="00E5513E">
        <w:trPr>
          <w:trHeight w:val="480"/>
        </w:trPr>
        <w:tc>
          <w:tcPr>
            <w:tcW w:w="5245" w:type="dxa"/>
          </w:tcPr>
          <w:p w:rsidR="00BF44BF" w:rsidRPr="00BB691A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BB691A" w:rsidRDefault="00140802" w:rsidP="0014080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10 343,3</w:t>
            </w:r>
          </w:p>
        </w:tc>
        <w:tc>
          <w:tcPr>
            <w:tcW w:w="2268" w:type="dxa"/>
          </w:tcPr>
          <w:p w:rsidR="00BF44BF" w:rsidRPr="00BB691A" w:rsidRDefault="006766D6" w:rsidP="0014080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F44BF" w:rsidRPr="00BB691A" w:rsidTr="00E5513E">
        <w:trPr>
          <w:trHeight w:val="480"/>
        </w:trPr>
        <w:tc>
          <w:tcPr>
            <w:tcW w:w="5245" w:type="dxa"/>
          </w:tcPr>
          <w:p w:rsidR="00BF44BF" w:rsidRPr="00BB691A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BB691A" w:rsidRDefault="00140802" w:rsidP="0014080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1 588,7</w:t>
            </w:r>
          </w:p>
        </w:tc>
        <w:tc>
          <w:tcPr>
            <w:tcW w:w="2268" w:type="dxa"/>
          </w:tcPr>
          <w:p w:rsidR="00BF44BF" w:rsidRPr="00BB691A" w:rsidRDefault="00140802" w:rsidP="0014080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</w:tbl>
    <w:p w:rsidR="00BF44BF" w:rsidRPr="00BB691A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BF44BF" w:rsidRPr="00391DAE" w:rsidTr="00C91A7B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147DFD" w:rsidRDefault="00BF44BF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147DFD" w:rsidRDefault="00BF44BF" w:rsidP="0039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391DAE"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  <w:r w:rsidR="00C6527E"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  <w:bookmarkStart w:id="0" w:name="_GoBack"/>
            <w:bookmarkEnd w:id="0"/>
            <w:r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C91A7B"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D03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C91A7B"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  <w:r w:rsidRPr="00147D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F44BF" w:rsidRPr="00147DFD" w:rsidTr="00C91A7B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147DFD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11 398,6</w:t>
            </w:r>
          </w:p>
        </w:tc>
      </w:tr>
      <w:tr w:rsidR="00BF44BF" w:rsidRPr="00147DFD" w:rsidTr="00C91A7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147DFD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147DFD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A204A0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  <w:r w:rsidR="00BF44BF"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4BF" w:rsidRPr="00147DFD" w:rsidTr="00C91A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147DFD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12 082,6</w:t>
            </w:r>
          </w:p>
        </w:tc>
      </w:tr>
      <w:tr w:rsidR="00BF44BF" w:rsidRPr="00147DFD" w:rsidTr="00C91A7B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147DFD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A204A0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2 106,6</w:t>
            </w:r>
          </w:p>
        </w:tc>
      </w:tr>
      <w:tr w:rsidR="00BF44BF" w:rsidRPr="00BC6664" w:rsidTr="00C91A7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147DFD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147DFD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C91A7B" w:rsidRPr="0014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147DFD" w:rsidRDefault="00147DFD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14 189,2</w:t>
            </w:r>
          </w:p>
        </w:tc>
      </w:tr>
    </w:tbl>
    <w:p w:rsidR="00BF44BF" w:rsidRDefault="00BF44BF" w:rsidP="00BF44BF"/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8A71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232C0"/>
    <w:rsid w:val="00075F43"/>
    <w:rsid w:val="000B570D"/>
    <w:rsid w:val="00113310"/>
    <w:rsid w:val="00140802"/>
    <w:rsid w:val="00147DFD"/>
    <w:rsid w:val="001C1C65"/>
    <w:rsid w:val="0020433F"/>
    <w:rsid w:val="00241D27"/>
    <w:rsid w:val="00252C36"/>
    <w:rsid w:val="002B5786"/>
    <w:rsid w:val="002E08E6"/>
    <w:rsid w:val="003057B0"/>
    <w:rsid w:val="00336232"/>
    <w:rsid w:val="00337964"/>
    <w:rsid w:val="00347AF2"/>
    <w:rsid w:val="00391DAE"/>
    <w:rsid w:val="003C4D54"/>
    <w:rsid w:val="003E46F9"/>
    <w:rsid w:val="003F49FC"/>
    <w:rsid w:val="00421F0E"/>
    <w:rsid w:val="004458B3"/>
    <w:rsid w:val="00497E1E"/>
    <w:rsid w:val="004A0828"/>
    <w:rsid w:val="004D3D9F"/>
    <w:rsid w:val="00577652"/>
    <w:rsid w:val="005C0257"/>
    <w:rsid w:val="0062232F"/>
    <w:rsid w:val="006766D6"/>
    <w:rsid w:val="00682325"/>
    <w:rsid w:val="006A080E"/>
    <w:rsid w:val="006C0DE6"/>
    <w:rsid w:val="006C1F2E"/>
    <w:rsid w:val="0070570C"/>
    <w:rsid w:val="00762194"/>
    <w:rsid w:val="007924AC"/>
    <w:rsid w:val="007A179C"/>
    <w:rsid w:val="007B35BF"/>
    <w:rsid w:val="007E19E5"/>
    <w:rsid w:val="008146EF"/>
    <w:rsid w:val="008A7122"/>
    <w:rsid w:val="008C4A02"/>
    <w:rsid w:val="008D71A3"/>
    <w:rsid w:val="008F2A58"/>
    <w:rsid w:val="0094454E"/>
    <w:rsid w:val="00A204A0"/>
    <w:rsid w:val="00B45182"/>
    <w:rsid w:val="00BB691A"/>
    <w:rsid w:val="00BD6F32"/>
    <w:rsid w:val="00BF44BF"/>
    <w:rsid w:val="00BF4B44"/>
    <w:rsid w:val="00BF5855"/>
    <w:rsid w:val="00C15BAA"/>
    <w:rsid w:val="00C3095B"/>
    <w:rsid w:val="00C6527E"/>
    <w:rsid w:val="00C91A7B"/>
    <w:rsid w:val="00CB3AC1"/>
    <w:rsid w:val="00CE6E1A"/>
    <w:rsid w:val="00D17045"/>
    <w:rsid w:val="00D31A61"/>
    <w:rsid w:val="00D40657"/>
    <w:rsid w:val="00D5160B"/>
    <w:rsid w:val="00DB2BA5"/>
    <w:rsid w:val="00DE1614"/>
    <w:rsid w:val="00DE3D1A"/>
    <w:rsid w:val="00E5513E"/>
    <w:rsid w:val="00EA0D6A"/>
    <w:rsid w:val="00ED0355"/>
    <w:rsid w:val="00F62395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264D-C332-459D-A11C-D1B3F1D9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15</cp:revision>
  <cp:lastPrinted>2019-07-11T05:30:00Z</cp:lastPrinted>
  <dcterms:created xsi:type="dcterms:W3CDTF">2019-07-04T14:24:00Z</dcterms:created>
  <dcterms:modified xsi:type="dcterms:W3CDTF">2019-07-11T05:36:00Z</dcterms:modified>
</cp:coreProperties>
</file>