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06" w:rsidRPr="00A27906" w:rsidRDefault="00A27906" w:rsidP="00A27906">
      <w:pPr>
        <w:shd w:val="clear" w:color="auto" w:fill="F0F1ED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color w:val="111111"/>
          <w:sz w:val="29"/>
          <w:szCs w:val="29"/>
          <w:lang w:eastAsia="ru-RU"/>
        </w:rPr>
      </w:pPr>
      <w:r>
        <w:rPr>
          <w:rFonts w:ascii="inherit" w:eastAsia="Times New Roman" w:hAnsi="inherit" w:cs="Arial"/>
          <w:b/>
          <w:bCs/>
          <w:color w:val="0000FF"/>
          <w:sz w:val="25"/>
          <w:szCs w:val="25"/>
          <w:bdr w:val="none" w:sz="0" w:space="0" w:color="auto" w:frame="1"/>
          <w:lang w:eastAsia="ru-RU"/>
        </w:rPr>
        <w:t>О</w:t>
      </w:r>
      <w:r w:rsidRPr="00A27906">
        <w:rPr>
          <w:rFonts w:ascii="inherit" w:eastAsia="Times New Roman" w:hAnsi="inherit" w:cs="Arial"/>
          <w:b/>
          <w:bCs/>
          <w:color w:val="0000FF"/>
          <w:sz w:val="25"/>
          <w:szCs w:val="25"/>
          <w:bdr w:val="none" w:sz="0" w:space="0" w:color="auto" w:frame="1"/>
          <w:lang w:eastAsia="ru-RU"/>
        </w:rPr>
        <w:t> НАЗНАЧЕНИИ ПЕНСИИ В 2021 ГОДУ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> В 2021 году смогут воспользоваться правом на трудовую пенсию по возрасту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 мужчины, родившиеся в первой половине 1959 года по достижении 62 лет и 6 месяцев, и женщины, родившиеся в первой половине 1964 года, по достижении 57 лет и 6 месяцев.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>Обязательным условием для реализации права на трудовую пенсию по возрасту и за выслугу лет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 кроме достижения установленного возраста требуется наличие страхового стажа установленной законом продолжительности, так в</w:t>
      </w:r>
      <w:r w:rsidRPr="00A27906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> 2021 году требуется наличие не менее 18 лет страхового стажа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>Исключение составляют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 многодетные матери, родившие 5 и более детей, матери военнослужащих, смерть которых связана с исполнением обязанностей военной службы, инвалиды войны, инвалиды с детства, родители детей инвалида, лилипуты и карлики – этим категориям граждан для реализации права на трудовую пенсию по возрасту </w:t>
      </w:r>
      <w:r w:rsidRPr="00A27906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>требуется наличие не менее 5 лет страхового стажа.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proofErr w:type="gramStart"/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В соответствии со статьёй 22ˡ «Пенсии отдельным категориям граждан» Закона Республики Беларусь «О пенсионном обеспечении» </w:t>
      </w:r>
      <w:r w:rsidRPr="00A27906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>снижена продолжительность страхового стажа до 10 лет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 для лиц, которые длительное время осуществляли социально значимые виды деятельности и по этой причине не смогли сформировать требуемый страховой стаж, но при этом имеют общий стаж мужчины не менее 40 лет и женщины не менее 35 лет.</w:t>
      </w:r>
      <w:proofErr w:type="gramEnd"/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proofErr w:type="gramStart"/>
      <w:r w:rsidRPr="00A27906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>При такой же продолжительности страхового стажа 10 лет и наличии общего стажа у мужчин 25 лет и 20 лет у женщин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, пенсия по возрасту назначается гражданам, которые длительное время (не менее 10 календарных лет без зачета в этот стаж времени нахождения в социальном отпуске по уходу за детьми) проходили военную службу, службу в военизированных организациях и при этом не приобрели</w:t>
      </w:r>
      <w:proofErr w:type="gramEnd"/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 xml:space="preserve"> право на пенсию по нормам Закона Республики Беларусь «О пенсионном обеспечении военнослужащих, лиц начальствующего и рядового состава органов внутренних дел, Следственного комитета Республики Беларусь, Государственного комитета судебных экспертиз Республики Беларусь, органов и подразделений по чрезвычайным ситуациям и органов финансовых расследований».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proofErr w:type="gramStart"/>
      <w:r w:rsidRPr="00A27906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>При назначении пенсии в 2021 году заработок исчисляется за последние 27 лет перед назначением пенсии 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(согласно законодательству период для исчисления индивидуального коэффициента заработка ежегодно увеличивается на 1 год по фактически имеющегося у лица, обратившегося за пенсией, стажа работы).</w:t>
      </w:r>
      <w:proofErr w:type="gramEnd"/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Республика Беларусь – государство с экономикой социально ориентированного типа. Особое внимание уделяется системе социальной поддержки населения. Необходимость в ней конкретного гражданина обусловлена наступлением обстоятельств, исключающих возможность создания его трудом условий, обеспечивающих ему основные жизненные потребности. Сущность социальной защиты заключается в системе мер, направленных на улучшение статуса экономически и социально незащищенных граждан. Важнейшим приоритетом системы является поддержка нетрудоспособных граждан за счет формирования и использования специальных денежных фондов. Самой масштабной составляющей, как по кругу охватываемых лиц, так и по объему распределяемых средств, является пенсионное обеспечение.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br/>
        <w:t>Основная цель пенсионного обеспечения – обеспечение финансовой устойчивости пенсионной системы, предоставление пенсионных выплат нетрудоспособным гражданам и периодическое повышение их размеров с учетом роста доходов работников.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Гарантированное Конституцией Республики Беларусь право на пенсионное обеспечение реализуется через Закон Республики Беларусь «О пенсионном обеспечении» (далее – Закон), другие законодательные акты.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Законом закреплены условия предоставления </w:t>
      </w:r>
      <w:r w:rsidRPr="00A27906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>трудовых пенсий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 по возрасту, по инвалидности, по случаю потери кормильца, за выслугу лет, за особые заслуги перед республикой.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Условия назначения пенсии по возрасту на общих основаниях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lastRenderedPageBreak/>
        <w:t>Право на пенсию по возрасту на общих основаниях имеют мужчины при стаже работы не менее 25 лет, женщины при стаже работы не менее 20 лет по достижении общеустановленного пенсионного возраста: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в 2021 году: мужчины — 62 лет 6 месяцев, женщины — 57 лет 6 месяцев;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в 2022 году и последующие годы: мужчины — 63 лет, женщины — 58 лет.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При исчислении размера пенсии учитывается стаж работы до назначения пенсии и заработок, с которого уплачивались обязательные страховые взносы. До 2000 года пенсия исчислялась из заработка за любые 5 лет подряд из последних 15 лет работы. С 2000 года указанные периоды увеличиваются на 1 год (в 2000 году пенсия исчислялась из заработка за любые 6 лет подряд из последних 16 лет работы, в 2001 году – за 7 лет из последних 17 лет и т.д.).</w:t>
      </w:r>
      <w:r w:rsidR="00D402BA">
        <w:rPr>
          <w:rFonts w:ascii="Arial" w:eastAsia="Times New Roman" w:hAnsi="Arial" w:cs="Arial"/>
          <w:color w:val="353735"/>
          <w:sz w:val="21"/>
          <w:szCs w:val="21"/>
          <w:lang w:eastAsia="ru-RU"/>
        </w:rPr>
        <w:t xml:space="preserve"> 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 xml:space="preserve">Право на трудовую пенсию по возрасту предоставляется </w:t>
      </w:r>
      <w:proofErr w:type="gramStart"/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 Беларусь в соответствии с законодательством</w:t>
      </w:r>
      <w:proofErr w:type="gramEnd"/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 xml:space="preserve"> о государственном социальном страховании не менее 15 лет 6 месяцев. Начиная с 1 января 2017 г. указанный стаж работы ежегодно с 1 января увеличивается на 6 месяцев до достижения 20 лет (см. подп.1.2 п.1 Указа Президента Республики Беларусь от 31.12.2015 № 534).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 xml:space="preserve">С 01.01.2015 года трудовая пенсия исчисляется из откорректированного фактического заработка, определенного в соответствии с Законом, за последние 21 год подряд стажа работы. </w:t>
      </w:r>
      <w:proofErr w:type="gramStart"/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Начиная с 01.01.2016 года указанный 21-летний период увеличивается ежегодно на</w:t>
      </w:r>
      <w:proofErr w:type="gramEnd"/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 xml:space="preserve"> один год до фактически имеющегося у лица, обратившегося за пенсией, стажа работы.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i/>
          <w:iCs/>
          <w:color w:val="353735"/>
          <w:sz w:val="21"/>
          <w:szCs w:val="21"/>
          <w:lang w:eastAsia="ru-RU"/>
        </w:rPr>
        <w:t>Минимальные гарантии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>Минимальный размер трудовой пенсии по возрасту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 установлен в размере 25 процентов наибольшей величины бюджета прожиточного минимума в среднем на душу населения, утвержденного Правительством Республики Беларусь за два последних квартала (статья 23 Закона).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>Минимальный размер трудовой пенсии по инвалидности 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I и II групп установлен в размере 100 процентов, по III группе — 50 процентов, матерям-героиням (независимо от группы инвалидности) — 100 процентов минимального размера пенсии по возрасту (статья 31 Закона).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>Минимальный размер трудовой пенсии по случаю потери кормильца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 установлен в размере 100 процентов минимального размера пенсии по возрасту, детям-сиротам, лицам из числа детей-сирот (при условии неполучения в связи со смертью родителя ежемесячной страховой выплаты) – 200 процентов минимального размера пенсии по возрасту (статья 38 Закона).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>Минимальный размер трудовой пенсии за выслугу лет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 установлен в размере 100 процентов минимальной пенсии по возрасту (статья 50 Закона).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 xml:space="preserve">Статистические данные по </w:t>
      </w:r>
      <w:proofErr w:type="spellStart"/>
      <w:r w:rsidR="00D402BA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>Осиповичско</w:t>
      </w:r>
      <w:r w:rsidRPr="00A27906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>му</w:t>
      </w:r>
      <w:proofErr w:type="spellEnd"/>
      <w:r w:rsidRPr="00A27906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 xml:space="preserve"> району на 01.05.2021</w:t>
      </w:r>
    </w:p>
    <w:tbl>
      <w:tblPr>
        <w:tblW w:w="9150" w:type="dxa"/>
        <w:tblCellSpacing w:w="0" w:type="dxa"/>
        <w:shd w:val="clear" w:color="auto" w:fill="F0F1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7540"/>
      </w:tblGrid>
      <w:tr w:rsidR="00A27906" w:rsidRPr="00A27906" w:rsidTr="00A27906">
        <w:trPr>
          <w:tblCellSpacing w:w="0" w:type="dxa"/>
        </w:trPr>
        <w:tc>
          <w:tcPr>
            <w:tcW w:w="1635" w:type="dxa"/>
            <w:tcBorders>
              <w:top w:val="single" w:sz="6" w:space="0" w:color="242E35"/>
              <w:left w:val="single" w:sz="6" w:space="0" w:color="242E35"/>
              <w:bottom w:val="single" w:sz="6" w:space="0" w:color="242E35"/>
              <w:right w:val="single" w:sz="6" w:space="0" w:color="242E35"/>
            </w:tcBorders>
            <w:shd w:val="clear" w:color="auto" w:fill="F0F1ED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27906" w:rsidRPr="00A27906" w:rsidRDefault="00A27906" w:rsidP="00A27906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</w:pPr>
            <w:r w:rsidRPr="00A27906"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  <w:t>Численность получателей пенсий и пособий</w:t>
            </w:r>
          </w:p>
          <w:p w:rsidR="00A27906" w:rsidRPr="00A27906" w:rsidRDefault="00A27906" w:rsidP="00A27906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</w:pPr>
            <w:r w:rsidRPr="00A27906"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280" w:type="dxa"/>
            <w:vMerge w:val="restart"/>
            <w:tcBorders>
              <w:top w:val="single" w:sz="6" w:space="0" w:color="242E35"/>
              <w:left w:val="single" w:sz="6" w:space="0" w:color="242E35"/>
              <w:bottom w:val="single" w:sz="6" w:space="0" w:color="242E35"/>
              <w:right w:val="single" w:sz="6" w:space="0" w:color="242E35"/>
            </w:tcBorders>
            <w:shd w:val="clear" w:color="auto" w:fill="F0F1ED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27906" w:rsidRPr="00A27906" w:rsidRDefault="00A27906" w:rsidP="00A27906">
            <w:pPr>
              <w:spacing w:after="0" w:line="240" w:lineRule="auto"/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</w:pPr>
            <w:r w:rsidRPr="00A27906">
              <w:rPr>
                <w:rFonts w:ascii="inherit" w:eastAsia="Times New Roman" w:hAnsi="inherit" w:cs="Arial"/>
                <w:b/>
                <w:bCs/>
                <w:color w:val="353735"/>
                <w:sz w:val="21"/>
                <w:szCs w:val="21"/>
                <w:lang w:eastAsia="ru-RU"/>
              </w:rPr>
              <w:t>БПМ в среднем на душу населения</w:t>
            </w:r>
            <w:r w:rsidRPr="00A27906"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  <w:t>: на  </w:t>
            </w:r>
            <w:r w:rsidRPr="00A27906">
              <w:rPr>
                <w:rFonts w:ascii="inherit" w:eastAsia="Times New Roman" w:hAnsi="inherit" w:cs="Arial"/>
                <w:b/>
                <w:bCs/>
                <w:color w:val="353735"/>
                <w:sz w:val="21"/>
                <w:szCs w:val="21"/>
                <w:lang w:eastAsia="ru-RU"/>
              </w:rPr>
              <w:t>01.05.2021</w:t>
            </w:r>
            <w:r w:rsidRPr="00A27906"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  <w:t> -273.27 р</w:t>
            </w:r>
            <w:r w:rsidRPr="00A27906">
              <w:rPr>
                <w:rFonts w:ascii="inherit" w:eastAsia="Times New Roman" w:hAnsi="inherit" w:cs="Arial"/>
                <w:b/>
                <w:bCs/>
                <w:color w:val="353735"/>
                <w:sz w:val="21"/>
                <w:szCs w:val="21"/>
                <w:lang w:eastAsia="ru-RU"/>
              </w:rPr>
              <w:t>уб.</w:t>
            </w:r>
          </w:p>
          <w:p w:rsidR="00A27906" w:rsidRPr="00A27906" w:rsidRDefault="00A27906" w:rsidP="00A27906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</w:pPr>
            <w:r w:rsidRPr="00A27906"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  <w:t> </w:t>
            </w:r>
          </w:p>
          <w:p w:rsidR="00A27906" w:rsidRPr="00A27906" w:rsidRDefault="00A27906" w:rsidP="00A27906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</w:pPr>
            <w:r w:rsidRPr="00A27906"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  <w:t> </w:t>
            </w:r>
          </w:p>
          <w:p w:rsidR="00A27906" w:rsidRPr="00A27906" w:rsidRDefault="00A27906" w:rsidP="00A27906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</w:pPr>
            <w:r w:rsidRPr="00A27906"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  <w:t> </w:t>
            </w:r>
          </w:p>
          <w:p w:rsidR="00A27906" w:rsidRPr="00A27906" w:rsidRDefault="00A27906" w:rsidP="00A27906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</w:pPr>
            <w:r w:rsidRPr="00A27906"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  <w:t>  </w:t>
            </w:r>
          </w:p>
          <w:p w:rsidR="00A27906" w:rsidRPr="00A27906" w:rsidRDefault="00A27906" w:rsidP="00A27906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</w:pPr>
            <w:r w:rsidRPr="00A27906"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  <w:t> </w:t>
            </w:r>
          </w:p>
          <w:p w:rsidR="00A27906" w:rsidRPr="00A27906" w:rsidRDefault="00A27906" w:rsidP="00A27906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</w:pPr>
            <w:r w:rsidRPr="00A27906"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  <w:t> </w:t>
            </w:r>
          </w:p>
          <w:p w:rsidR="00A27906" w:rsidRPr="00A27906" w:rsidRDefault="00A27906" w:rsidP="00A27906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</w:pPr>
            <w:r w:rsidRPr="00A27906"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  <w:t>Доплаты к пенсии: </w:t>
            </w:r>
            <w:r w:rsidRPr="00A27906">
              <w:rPr>
                <w:rFonts w:ascii="inherit" w:eastAsia="Times New Roman" w:hAnsi="inherit" w:cs="Arial"/>
                <w:b/>
                <w:bCs/>
                <w:color w:val="353735"/>
                <w:sz w:val="21"/>
                <w:szCs w:val="21"/>
                <w:lang w:eastAsia="ru-RU"/>
              </w:rPr>
              <w:t>75 лет – 51,24 руб.</w:t>
            </w:r>
            <w:r w:rsidRPr="00A27906"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  <w:t>, </w:t>
            </w:r>
            <w:r w:rsidRPr="00A27906">
              <w:rPr>
                <w:rFonts w:ascii="inherit" w:eastAsia="Times New Roman" w:hAnsi="inherit" w:cs="Arial"/>
                <w:b/>
                <w:bCs/>
                <w:color w:val="353735"/>
                <w:sz w:val="21"/>
                <w:szCs w:val="21"/>
                <w:lang w:eastAsia="ru-RU"/>
              </w:rPr>
              <w:t>80 лет – 68,32  руб.</w:t>
            </w:r>
          </w:p>
        </w:tc>
      </w:tr>
      <w:tr w:rsidR="00A27906" w:rsidRPr="00A27906" w:rsidTr="00A27906">
        <w:trPr>
          <w:tblCellSpacing w:w="0" w:type="dxa"/>
        </w:trPr>
        <w:tc>
          <w:tcPr>
            <w:tcW w:w="1635" w:type="dxa"/>
            <w:tcBorders>
              <w:top w:val="single" w:sz="6" w:space="0" w:color="242E35"/>
              <w:left w:val="single" w:sz="6" w:space="0" w:color="242E35"/>
              <w:bottom w:val="single" w:sz="6" w:space="0" w:color="242E35"/>
              <w:right w:val="single" w:sz="6" w:space="0" w:color="242E35"/>
            </w:tcBorders>
            <w:shd w:val="clear" w:color="auto" w:fill="F0F1ED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27906" w:rsidRPr="00A27906" w:rsidRDefault="00D402BA" w:rsidP="00A27906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  <w:t>13 235</w:t>
            </w:r>
          </w:p>
        </w:tc>
        <w:tc>
          <w:tcPr>
            <w:tcW w:w="0" w:type="auto"/>
            <w:vMerge/>
            <w:tcBorders>
              <w:top w:val="single" w:sz="6" w:space="0" w:color="242E35"/>
              <w:left w:val="single" w:sz="6" w:space="0" w:color="242E35"/>
              <w:bottom w:val="single" w:sz="6" w:space="0" w:color="242E35"/>
              <w:right w:val="single" w:sz="6" w:space="0" w:color="242E35"/>
            </w:tcBorders>
            <w:shd w:val="clear" w:color="auto" w:fill="F0F1ED"/>
            <w:vAlign w:val="bottom"/>
            <w:hideMark/>
          </w:tcPr>
          <w:p w:rsidR="00A27906" w:rsidRPr="00A27906" w:rsidRDefault="00A27906" w:rsidP="00A27906">
            <w:pPr>
              <w:spacing w:after="0" w:line="240" w:lineRule="auto"/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</w:pPr>
          </w:p>
        </w:tc>
      </w:tr>
      <w:tr w:rsidR="00A27906" w:rsidRPr="00A27906" w:rsidTr="00A2790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242E35"/>
              <w:left w:val="single" w:sz="6" w:space="0" w:color="242E35"/>
              <w:bottom w:val="single" w:sz="6" w:space="0" w:color="242E35"/>
              <w:right w:val="single" w:sz="6" w:space="0" w:color="242E35"/>
            </w:tcBorders>
            <w:shd w:val="clear" w:color="auto" w:fill="F0F1ED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27906" w:rsidRPr="00A27906" w:rsidRDefault="00A27906" w:rsidP="00A27906">
            <w:pPr>
              <w:spacing w:after="0" w:line="240" w:lineRule="auto"/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</w:pPr>
            <w:r w:rsidRPr="00A27906">
              <w:rPr>
                <w:rFonts w:ascii="inherit" w:eastAsia="Times New Roman" w:hAnsi="inherit" w:cs="Arial"/>
                <w:b/>
                <w:bCs/>
                <w:color w:val="353735"/>
                <w:sz w:val="21"/>
                <w:szCs w:val="21"/>
                <w:lang w:eastAsia="ru-RU"/>
              </w:rPr>
              <w:t> </w:t>
            </w:r>
          </w:p>
        </w:tc>
      </w:tr>
    </w:tbl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lastRenderedPageBreak/>
        <w:t>Изменения в механизме отсроченного выхода на пенсию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18 марта 2012 г. Президентом РБ подписан Указ № 136 «О мерах по совершенствованию пенсионного обеспечения граждан» (далее — Указ), направленный на адаптацию пенсионной системы к росту нагрузки в складывающихся демографических и социально-экономических условиях и повышение эффективности ее расходов. Указ вступил в силу с 1 октября 2012 г.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С указанной даты пенсионеры могут воспользоваться (при желании) новой более прогрессивной шкалой отсроченного выхода на пенсию, позволяющей увеличить ее размер в будущем.</w:t>
      </w:r>
    </w:p>
    <w:tbl>
      <w:tblPr>
        <w:tblW w:w="5000" w:type="pct"/>
        <w:tblCellSpacing w:w="0" w:type="dxa"/>
        <w:shd w:val="clear" w:color="auto" w:fill="F0F1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9163"/>
      </w:tblGrid>
      <w:tr w:rsidR="00A27906" w:rsidRPr="00A27906" w:rsidTr="00A27906">
        <w:trPr>
          <w:tblCellSpacing w:w="0" w:type="dxa"/>
        </w:trPr>
        <w:tc>
          <w:tcPr>
            <w:tcW w:w="450" w:type="dxa"/>
            <w:tcBorders>
              <w:top w:val="single" w:sz="6" w:space="0" w:color="242E35"/>
              <w:left w:val="single" w:sz="6" w:space="0" w:color="242E35"/>
              <w:bottom w:val="single" w:sz="6" w:space="0" w:color="242E35"/>
              <w:right w:val="single" w:sz="6" w:space="0" w:color="242E35"/>
            </w:tcBorders>
            <w:shd w:val="clear" w:color="auto" w:fill="F0F1ED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27906" w:rsidRPr="00A27906" w:rsidRDefault="00A27906" w:rsidP="00A27906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</w:pPr>
            <w:r w:rsidRPr="00A27906">
              <w:rPr>
                <w:rFonts w:ascii="inherit" w:eastAsia="Times New Roman" w:hAnsi="inherit" w:cs="Arial"/>
                <w:i/>
                <w:iCs/>
                <w:color w:val="35373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0" w:type="dxa"/>
            <w:tcBorders>
              <w:top w:val="single" w:sz="6" w:space="0" w:color="242E35"/>
              <w:left w:val="single" w:sz="6" w:space="0" w:color="242E35"/>
              <w:bottom w:val="single" w:sz="6" w:space="0" w:color="242E35"/>
              <w:right w:val="single" w:sz="6" w:space="0" w:color="242E35"/>
            </w:tcBorders>
            <w:shd w:val="clear" w:color="auto" w:fill="F0F1ED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27906" w:rsidRPr="00A27906" w:rsidRDefault="00A27906" w:rsidP="00A27906">
            <w:pPr>
              <w:spacing w:after="0" w:line="240" w:lineRule="auto"/>
              <w:rPr>
                <w:rFonts w:ascii="inherit" w:eastAsia="Times New Roman" w:hAnsi="inherit" w:cs="Arial"/>
                <w:color w:val="353735"/>
                <w:sz w:val="21"/>
                <w:szCs w:val="21"/>
                <w:lang w:eastAsia="ru-RU"/>
              </w:rPr>
            </w:pPr>
            <w:r w:rsidRPr="00A27906">
              <w:rPr>
                <w:rFonts w:ascii="inherit" w:eastAsia="Times New Roman" w:hAnsi="inherit" w:cs="Arial"/>
                <w:i/>
                <w:iCs/>
                <w:color w:val="353735"/>
                <w:sz w:val="21"/>
                <w:szCs w:val="21"/>
                <w:lang w:eastAsia="ru-RU"/>
              </w:rPr>
              <w:t>Действующим законодательством предусмотрен механизм отложенной пенсии, позволяющий повысить размер пенсии по возрасту за работу после достижения общеустановленного пенсионного возраста без получения пенсии. Он предусмотрен ст.23</w:t>
            </w:r>
            <w:r w:rsidRPr="00A27906">
              <w:rPr>
                <w:rFonts w:ascii="inherit" w:eastAsia="Times New Roman" w:hAnsi="inherit" w:cs="Arial"/>
                <w:i/>
                <w:iCs/>
                <w:color w:val="353735"/>
                <w:sz w:val="21"/>
                <w:szCs w:val="21"/>
                <w:vertAlign w:val="superscript"/>
                <w:lang w:eastAsia="ru-RU"/>
              </w:rPr>
              <w:t>1</w:t>
            </w:r>
            <w:r w:rsidRPr="00A27906">
              <w:rPr>
                <w:rFonts w:ascii="inherit" w:eastAsia="Times New Roman" w:hAnsi="inherit" w:cs="Arial"/>
                <w:i/>
                <w:iCs/>
                <w:color w:val="353735"/>
                <w:sz w:val="21"/>
                <w:szCs w:val="21"/>
                <w:lang w:eastAsia="ru-RU"/>
              </w:rPr>
              <w:t xml:space="preserve"> Закона РБ от 17.04.1992 № 1596-XII «О пенсионном обеспечении» (далее — Закон), </w:t>
            </w:r>
            <w:proofErr w:type="gramStart"/>
            <w:r w:rsidRPr="00A27906">
              <w:rPr>
                <w:rFonts w:ascii="inherit" w:eastAsia="Times New Roman" w:hAnsi="inherit" w:cs="Arial"/>
                <w:i/>
                <w:iCs/>
                <w:color w:val="353735"/>
                <w:sz w:val="21"/>
                <w:szCs w:val="21"/>
                <w:lang w:eastAsia="ru-RU"/>
              </w:rPr>
              <w:t>введенной</w:t>
            </w:r>
            <w:proofErr w:type="gramEnd"/>
            <w:r w:rsidRPr="00A27906">
              <w:rPr>
                <w:rFonts w:ascii="inherit" w:eastAsia="Times New Roman" w:hAnsi="inherit" w:cs="Arial"/>
                <w:i/>
                <w:iCs/>
                <w:color w:val="353735"/>
                <w:sz w:val="21"/>
                <w:szCs w:val="21"/>
                <w:lang w:eastAsia="ru-RU"/>
              </w:rPr>
              <w:t xml:space="preserve"> Законом РБ от 15.07.1998 № 188-З (вступил в силу с 1 сентября 1998 г.). Указанная норма предусматривает увеличение пенсии на 1 % заработка, принимаемого для исчисления пенсии, за каждые 2 </w:t>
            </w:r>
            <w:proofErr w:type="gramStart"/>
            <w:r w:rsidRPr="00A27906">
              <w:rPr>
                <w:rFonts w:ascii="inherit" w:eastAsia="Times New Roman" w:hAnsi="inherit" w:cs="Arial"/>
                <w:i/>
                <w:iCs/>
                <w:color w:val="353735"/>
                <w:sz w:val="21"/>
                <w:szCs w:val="21"/>
                <w:lang w:eastAsia="ru-RU"/>
              </w:rPr>
              <w:t>полных</w:t>
            </w:r>
            <w:proofErr w:type="gramEnd"/>
            <w:r w:rsidRPr="00A27906">
              <w:rPr>
                <w:rFonts w:ascii="inherit" w:eastAsia="Times New Roman" w:hAnsi="inherit" w:cs="Arial"/>
                <w:i/>
                <w:iCs/>
                <w:color w:val="353735"/>
                <w:sz w:val="21"/>
                <w:szCs w:val="21"/>
                <w:lang w:eastAsia="ru-RU"/>
              </w:rPr>
              <w:t xml:space="preserve"> месяца такой работы.</w:t>
            </w:r>
          </w:p>
        </w:tc>
      </w:tr>
    </w:tbl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Указом усовершенствован действующий механизм отложенной пенсии: он стал более привлекательным, поскольку значительно увеличился размер пенсии за отложенное обращение за ней. Вместо увеличения пенсии на 1 % заработка, принимаемого для исчисления пенсии, за каждые 2 полных месяца такой работы Указом установлено прогрессивное увеличение размера пенсии за перио</w:t>
      </w:r>
      <w:proofErr w:type="gramStart"/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д(</w:t>
      </w:r>
      <w:proofErr w:type="gramEnd"/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ы) работы без получения пенсии после приобретения права на пенсию по возрасту на общих основаниях (предоставляется женщинам по достижении 55 лет, мужчинам — 60 лет). При этом, как уже было отмечено, каждый работник вправе самостоятельно делать выбор: обратиться за пенсией раньше, тем самым согласиться на относительно невысокий ее размер, или позже, заработав более высокую пенсию.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Согласно подп.1.1 п.1 Указа при продолжении работы после достижения общеустановленного пенсионного возраста без получения пенсии размер пенсии будет расти следующим образом: каждые 2 месяца неполного года работы без получения пенсии позволят увеличить пенсию на 1 % заработка, из которого она исчислена: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• за 1-й год — на 6 % заработка;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• за 2 года — на 14 % (повышение на 8 % за 2-й год работы суммируется с повышением на 6 % за 1-й год);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• за 3 года — на 24 % (14 % за первых 2 года плюс 10 % за 3-й год);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• за 4 года — на 36 % (24 % за 3 года плюс 12 % за 4-й год);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• за 5-й и каждый последующий год предусматривается повышение размера пенсии на 14 % заработка, которые также суммируются с процентами повышения, установленными за предшествующий период (за 5 лет — 50 % и т.д.).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Таким образом, за 5 лет работы пенсия увеличится на 50 % заработка, из которого она исчислена, или в 1,7-2 раза (в зависимости от стажа и заработка). И это не предел. Каждый последующий год без получения пенсии позволит увеличивать ее еще на 14 % заработка, из которого она исчислена.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Под работой, дающей право на указанное увеличение пенсии, понимаются периоды работы, предпринимательской, творческой и иной деятельности, в течение которых производилась уплата обязательных страховых взносов в Фонд социальной защиты населения Министерства труда и социальной защиты РБ (часть первая ст.51 Закона).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Положениями Указа в части премиального увеличения пенсии могут воспользоваться также и лица, которые уже получают пенсию по возрасту и работают. При желании они вправе приостановить получение этой пенсии (для этого необходимо обратиться с соответствующим письменным заявлением в орган, выплачивающий им пенсию), в результате чего в последующем размер их пенсии возрастет.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lastRenderedPageBreak/>
        <w:t>Кроме премий, стимулирующих более поздний выход на пенсию, в Указе содержится еще одно немаловажное нововведение, направленное на повышение значимости в трудовой пенсии периодов работы с уплатой обязательных страховых взносов и стимулирование граждан на «зарабатывание» трудового (страхового) стажа работы и, соответственно, трудовой пенсии.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proofErr w:type="gramStart"/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Так, в соответствии с подп.1.2 п.1 Указа при исчислении пенсии за периоды без уплаты обязательных страховых взносов, включаемые в стаж работы для назначения пенсии (к таким периодам часть вторая ст.51 Закона относит учебу в дневной форме получения высшего, среднего специального и профессионального образования, военную службу, уход за детьми и др.), вместо отсутствующего заработка будет применяться условный доход</w:t>
      </w:r>
      <w:proofErr w:type="gramEnd"/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 — 40 % средней заработной платы работников в республике за соответствующие месяцы</w:t>
      </w:r>
    </w:p>
    <w:p w:rsidR="00A27906" w:rsidRPr="00A27906" w:rsidRDefault="00A27906" w:rsidP="00A27906">
      <w:pPr>
        <w:shd w:val="clear" w:color="auto" w:fill="F0F1E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Разъяснение действующего законодательства о досрочном </w:t>
      </w:r>
      <w:proofErr w:type="spellStart"/>
      <w:r w:rsidRPr="00A27906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пенсионировании</w:t>
      </w:r>
      <w:proofErr w:type="spellEnd"/>
      <w:r w:rsidRPr="00A27906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граждан в 20</w:t>
      </w:r>
      <w:r w:rsidR="00D402BA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21</w:t>
      </w:r>
      <w:r w:rsidRPr="00A27906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году 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proofErr w:type="gramStart"/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В соответствии со статьей 12 и частью первой статьи 46 Закона  Республики Беларусь «О пенсионном обеспечении» (далее – Закон о пенсионном обеспечении) пенсии по возрасту за работу с особыми условиями труда (пункты «в» — «з» части первой статьи 12 и статья 13 Закона о пенсионном обеспечении) и пенсии за выслугу лет (статьи 47-49</w:t>
      </w:r>
      <w:r w:rsidRPr="00A27906">
        <w:rPr>
          <w:rFonts w:ascii="Arial" w:eastAsia="Times New Roman" w:hAnsi="Arial" w:cs="Arial"/>
          <w:color w:val="353735"/>
          <w:sz w:val="21"/>
          <w:szCs w:val="21"/>
          <w:vertAlign w:val="superscript"/>
          <w:lang w:eastAsia="ru-RU"/>
        </w:rPr>
        <w:t>2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 Закона о пенсионном обеспечении) назначаются лицам, не имеющим права</w:t>
      </w:r>
      <w:proofErr w:type="gramEnd"/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 xml:space="preserve"> на досрочную профессиональную пенсию.</w:t>
      </w:r>
    </w:p>
    <w:p w:rsidR="00A27906" w:rsidRPr="00A27906" w:rsidRDefault="00A27906" w:rsidP="00A27906">
      <w:pPr>
        <w:shd w:val="clear" w:color="auto" w:fill="F0F1E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inherit" w:eastAsia="Times New Roman" w:hAnsi="inherit" w:cs="Arial"/>
          <w:i/>
          <w:iCs/>
          <w:color w:val="353735"/>
          <w:sz w:val="21"/>
          <w:szCs w:val="21"/>
          <w:bdr w:val="none" w:sz="0" w:space="0" w:color="auto" w:frame="1"/>
          <w:lang w:eastAsia="ru-RU"/>
        </w:rPr>
        <w:t>Досрочная профессиональная пенсия – это профессиональная пенсия, выплачиваемая застрахованному лицу в досрочный период в соответствии со статьей 11 Закона Республики Беларусь «О профессиональном пенсионном страховании» (далее – Закон о ППС).</w:t>
      </w:r>
    </w:p>
    <w:p w:rsidR="00A27906" w:rsidRPr="00A27906" w:rsidRDefault="00A27906" w:rsidP="00A27906">
      <w:pPr>
        <w:shd w:val="clear" w:color="auto" w:fill="F0F1E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Досрочная профессиональная пенсия назначается </w:t>
      </w:r>
      <w:r w:rsidRPr="00A27906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>при наличии не менее половины профессионального стажа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 xml:space="preserve">, предусмотренного пунктом 1 статьи 11 Закона о ППС. </w:t>
      </w:r>
      <w:proofErr w:type="gramStart"/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При этом для назначения профессиональной пенсии учитываются периоды работы до 01.01.2009, для которой Законом о пенсионном обеспечении предусмотрены аналогичные или более льготные условия по продолжительности специального стажа и возрасту выхода на трудовую пенсию по возрасту или трудовую пенсию за выслугу лет, в соответствии с требованиями указанного Закона (подпункт 2.2 пункта 2 статьи 11 Закона о ППС).</w:t>
      </w:r>
      <w:proofErr w:type="gramEnd"/>
    </w:p>
    <w:p w:rsidR="00A27906" w:rsidRPr="00A27906" w:rsidRDefault="00A27906" w:rsidP="00A27906">
      <w:pPr>
        <w:shd w:val="clear" w:color="auto" w:fill="F0F1E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inherit" w:eastAsia="Times New Roman" w:hAnsi="inherit" w:cs="Arial"/>
          <w:i/>
          <w:iCs/>
          <w:color w:val="353735"/>
          <w:sz w:val="21"/>
          <w:szCs w:val="21"/>
          <w:bdr w:val="none" w:sz="0" w:space="0" w:color="auto" w:frame="1"/>
          <w:lang w:eastAsia="ru-RU"/>
        </w:rPr>
        <w:t>Профессиональный стаж  – это продолжительность работы с 01.01.2009 с особыми условиями труда застрахованного лица, в течение которой за него уплачивались взносы на профессиональное пенсионное страхование (статья 1 Закона о ППС).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proofErr w:type="gramStart"/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Органами по труду, занятости и социальной защите пенсии за работу с особыми условиями труда (пункты «в» — «з» части первой статьи 12 и статья 13 Закона о пенсионном обеспечении) и пенсии за выслугу лет при соблюдении других условий, предусмотренных законодательством, назначаются при условии, что продолжительность профессионального стажа составляет </w:t>
      </w:r>
      <w:r w:rsidRPr="00A27906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>менее половины требуемого для назначения профессиональной пенсии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.</w:t>
      </w:r>
      <w:proofErr w:type="gramEnd"/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Дополнительно информируем, что согласно статье 15 Закона о ППС досрочные профессиональные пенсии назначаются застрахованным лицам, постоянно проживающим в Республике Беларусь.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Заявление о назначении досрочной профессиональной пенсии подается в городской, районный, районный в городе отдел областного, Минского городского управления Фонда. Срок рассмотрения заявления – не более 10 рабочих дней.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Застрахованное лицо может обратиться за назначением досрочной профессиональной пенсии в любое время после возникновения права на такую пенсию, но не позднее месяца, предшествующего месяцу достижения им общеустановленного пенсионного возраста.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Досрочная профессиональная пенсия назначается с месяца, следующего за месяцем, в котором принято заявление о ее назначении.</w:t>
      </w:r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proofErr w:type="gramStart"/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В соответствии с подпунктом 1.2 пункта 2 Указа Президента Республики Беларусь от 25.09.2013 № 441 «О некоторых вопросах профессионального пенсионного страхования и пенсионного обеспечения» работникам, подлежащим профессиональному пенсионному страхованию, у которых </w:t>
      </w:r>
      <w:r w:rsidRPr="00A27906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>специальный стаж работы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 </w:t>
      </w:r>
      <w:r w:rsidRPr="00A27906">
        <w:rPr>
          <w:rFonts w:ascii="Arial" w:eastAsia="Times New Roman" w:hAnsi="Arial" w:cs="Arial"/>
          <w:b/>
          <w:bCs/>
          <w:color w:val="353735"/>
          <w:sz w:val="21"/>
          <w:szCs w:val="21"/>
          <w:lang w:eastAsia="ru-RU"/>
        </w:rPr>
        <w:t>до 1 января 2009 г. составляет менее половины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 xml:space="preserve"> требуемого для назначения пенсии по возрасту за работу с особыми условиями 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lastRenderedPageBreak/>
        <w:t>труда или пенсии за выслугу лет в соответствии</w:t>
      </w:r>
      <w:proofErr w:type="gramEnd"/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 xml:space="preserve"> </w:t>
      </w:r>
      <w:proofErr w:type="gramStart"/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со статьями 12, 13, 15, 47–49, 49</w:t>
      </w:r>
      <w:r w:rsidRPr="00A27906">
        <w:rPr>
          <w:rFonts w:ascii="Arial" w:eastAsia="Times New Roman" w:hAnsi="Arial" w:cs="Arial"/>
          <w:color w:val="353735"/>
          <w:sz w:val="21"/>
          <w:szCs w:val="21"/>
          <w:vertAlign w:val="superscript"/>
          <w:lang w:eastAsia="ru-RU"/>
        </w:rPr>
        <w:t>2</w:t>
      </w: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 Закона о пенсионном обеспечении, по их выбору предоставляется право на профессиональное пенсионное страхование либо на ежемесячную доплату к заработной плате в размере, определяемом работодателем, но не менее суммы взносов на профессиональное пенсионное страхование работника, причитающихся к уплате в Фонд социальной защиты населения Министерства труда и социальной защиты Республики Беларусь в соответствии с законодательством.</w:t>
      </w:r>
      <w:proofErr w:type="gramEnd"/>
    </w:p>
    <w:p w:rsidR="00A27906" w:rsidRPr="00A27906" w:rsidRDefault="00A27906" w:rsidP="00A27906">
      <w:pPr>
        <w:shd w:val="clear" w:color="auto" w:fill="F0F1ED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  <w:r w:rsidRPr="00A27906">
        <w:rPr>
          <w:rFonts w:ascii="Arial" w:eastAsia="Times New Roman" w:hAnsi="Arial" w:cs="Arial"/>
          <w:color w:val="353735"/>
          <w:sz w:val="21"/>
          <w:szCs w:val="21"/>
          <w:lang w:eastAsia="ru-RU"/>
        </w:rPr>
        <w:t>Ежемесячная доплата к заработной плате производится работодателем на основании письменного заявления работника.</w:t>
      </w:r>
    </w:p>
    <w:p w:rsidR="00A27906" w:rsidRPr="00A27906" w:rsidRDefault="00A27906" w:rsidP="00A27906">
      <w:pPr>
        <w:shd w:val="clear" w:color="auto" w:fill="F0F1ED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735"/>
          <w:sz w:val="21"/>
          <w:szCs w:val="21"/>
          <w:lang w:eastAsia="ru-RU"/>
        </w:rPr>
      </w:pPr>
    </w:p>
    <w:p w:rsidR="000330A5" w:rsidRDefault="000330A5">
      <w:bookmarkStart w:id="0" w:name="_GoBack"/>
      <w:bookmarkEnd w:id="0"/>
    </w:p>
    <w:sectPr w:rsidR="0003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06"/>
    <w:rsid w:val="000330A5"/>
    <w:rsid w:val="00A27906"/>
    <w:rsid w:val="00D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108-1ANASTASIYA</dc:creator>
  <cp:lastModifiedBy>108-1ANASTASIYA</cp:lastModifiedBy>
  <cp:revision>1</cp:revision>
  <cp:lastPrinted>2021-05-04T09:28:00Z</cp:lastPrinted>
  <dcterms:created xsi:type="dcterms:W3CDTF">2021-05-04T09:07:00Z</dcterms:created>
  <dcterms:modified xsi:type="dcterms:W3CDTF">2021-05-04T09:30:00Z</dcterms:modified>
</cp:coreProperties>
</file>